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</w:p>
    <w:p>
      <w:pPr>
        <w:spacing w:line="480" w:lineRule="exact"/>
        <w:jc w:val="center"/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12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164"/>
        <w:gridCol w:w="11012"/>
        <w:gridCol w:w="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56" w:type="dxa"/>
            <w:vMerge w:val="restart"/>
            <w:vAlign w:val="center"/>
          </w:tcPr>
          <w:p>
            <w:pPr>
              <w:spacing w:before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过程与活动、</w:t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抽样计划</w:t>
            </w:r>
          </w:p>
        </w:tc>
        <w:tc>
          <w:tcPr>
            <w:tcW w:w="1164" w:type="dxa"/>
            <w:vMerge w:val="restart"/>
            <w:vAlign w:val="center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涉及</w:t>
            </w:r>
          </w:p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条款</w:t>
            </w:r>
          </w:p>
        </w:tc>
        <w:tc>
          <w:tcPr>
            <w:tcW w:w="11012" w:type="dxa"/>
            <w:vAlign w:val="center"/>
          </w:tcPr>
          <w:p>
            <w:pPr>
              <w:spacing w:line="36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ascii="宋体" w:hAnsi="宋体" w:cs="宋体"/>
                <w:szCs w:val="21"/>
              </w:rPr>
              <w:t>受审核部门：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行政部（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含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财务）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cs="宋体"/>
                <w:szCs w:val="21"/>
              </w:rPr>
              <w:t xml:space="preserve">  主管领导：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罗锦霞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cs="宋体"/>
                <w:szCs w:val="21"/>
              </w:rPr>
              <w:t xml:space="preserve"> 陪同人员：</w:t>
            </w:r>
            <w:r>
              <w:rPr>
                <w:rFonts w:hint="eastAsia"/>
                <w:color w:val="000000" w:themeColor="text1"/>
                <w:lang w:eastAsia="zh-CN"/>
              </w:rPr>
              <w:t>胡明飞</w:t>
            </w:r>
          </w:p>
        </w:tc>
        <w:tc>
          <w:tcPr>
            <w:tcW w:w="577" w:type="dxa"/>
            <w:vMerge w:val="restart"/>
            <w:vAlign w:val="center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956" w:type="dxa"/>
            <w:vMerge w:val="continue"/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1164" w:type="dxa"/>
            <w:vMerge w:val="continue"/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11012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审核员：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宋明珠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郭力</w:t>
            </w:r>
            <w:r>
              <w:rPr>
                <w:rFonts w:hint="eastAsia" w:ascii="宋体" w:hAnsi="宋体" w:cs="宋体"/>
                <w:szCs w:val="21"/>
              </w:rPr>
              <w:t xml:space="preserve">         审核时间：20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  <w:tc>
          <w:tcPr>
            <w:tcW w:w="577" w:type="dxa"/>
            <w:vMerge w:val="continue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6" w:type="dxa"/>
            <w:vMerge w:val="continue"/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1164" w:type="dxa"/>
            <w:vMerge w:val="continue"/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11012" w:type="dxa"/>
            <w:vAlign w:val="center"/>
          </w:tcPr>
          <w:p>
            <w:pPr>
              <w:snapToGrid w:val="0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审核条款：</w:t>
            </w:r>
          </w:p>
          <w:p>
            <w:pPr>
              <w:snapToGrid w:val="0"/>
              <w:spacing w:line="360" w:lineRule="auto"/>
              <w:rPr>
                <w:rFonts w:hint="eastAsia"/>
                <w:szCs w:val="22"/>
              </w:rPr>
            </w:pPr>
            <w:r>
              <w:rPr>
                <w:rFonts w:hint="eastAsia"/>
                <w:szCs w:val="22"/>
              </w:rPr>
              <w:t>QE:7.1.2</w:t>
            </w:r>
            <w:r>
              <w:rPr>
                <w:rFonts w:hint="eastAsia"/>
                <w:szCs w:val="22"/>
                <w:lang w:eastAsia="zh-CN"/>
              </w:rPr>
              <w:t>、</w:t>
            </w:r>
            <w:r>
              <w:rPr>
                <w:rFonts w:hint="eastAsia"/>
                <w:szCs w:val="22"/>
                <w:lang w:val="en-US" w:eastAsia="zh-CN"/>
              </w:rPr>
              <w:t>7.1.4、</w:t>
            </w:r>
            <w:r>
              <w:rPr>
                <w:rFonts w:hint="eastAsia"/>
                <w:szCs w:val="22"/>
              </w:rPr>
              <w:t>7.1.6</w:t>
            </w:r>
            <w:r>
              <w:rPr>
                <w:rFonts w:hint="eastAsia"/>
                <w:szCs w:val="22"/>
                <w:lang w:eastAsia="zh-CN"/>
              </w:rPr>
              <w:t>、</w:t>
            </w:r>
            <w:r>
              <w:rPr>
                <w:rFonts w:hint="eastAsia"/>
                <w:szCs w:val="22"/>
              </w:rPr>
              <w:t>7.2</w:t>
            </w:r>
            <w:r>
              <w:rPr>
                <w:rFonts w:hint="eastAsia"/>
                <w:szCs w:val="22"/>
                <w:lang w:eastAsia="zh-CN"/>
              </w:rPr>
              <w:t>、</w:t>
            </w:r>
            <w:r>
              <w:rPr>
                <w:rFonts w:hint="eastAsia"/>
                <w:szCs w:val="22"/>
              </w:rPr>
              <w:t>7.3</w:t>
            </w:r>
            <w:r>
              <w:rPr>
                <w:rFonts w:hint="eastAsia"/>
                <w:szCs w:val="22"/>
                <w:lang w:eastAsia="zh-CN"/>
              </w:rPr>
              <w:t>、</w:t>
            </w:r>
            <w:r>
              <w:rPr>
                <w:rFonts w:hint="eastAsia"/>
                <w:szCs w:val="22"/>
              </w:rPr>
              <w:t>7.4</w:t>
            </w:r>
            <w:r>
              <w:rPr>
                <w:rFonts w:hint="eastAsia"/>
                <w:szCs w:val="22"/>
                <w:lang w:eastAsia="zh-CN"/>
              </w:rPr>
              <w:t>、</w:t>
            </w:r>
            <w:r>
              <w:rPr>
                <w:rFonts w:hint="eastAsia"/>
                <w:szCs w:val="22"/>
              </w:rPr>
              <w:t>7.5</w:t>
            </w:r>
            <w:r>
              <w:rPr>
                <w:rFonts w:hint="eastAsia"/>
                <w:szCs w:val="22"/>
                <w:lang w:eastAsia="zh-CN"/>
              </w:rPr>
              <w:t>、</w:t>
            </w:r>
            <w:r>
              <w:rPr>
                <w:rFonts w:hint="eastAsia"/>
                <w:szCs w:val="22"/>
              </w:rPr>
              <w:t>9.2</w:t>
            </w:r>
            <w:r>
              <w:rPr>
                <w:rFonts w:hint="eastAsia"/>
                <w:szCs w:val="22"/>
                <w:lang w:eastAsia="zh-CN"/>
              </w:rPr>
              <w:t>、</w:t>
            </w:r>
            <w:r>
              <w:rPr>
                <w:rFonts w:hint="eastAsia"/>
                <w:szCs w:val="22"/>
              </w:rPr>
              <w:t>10.2</w:t>
            </w:r>
            <w:r>
              <w:rPr>
                <w:rFonts w:hint="eastAsia"/>
                <w:szCs w:val="22"/>
                <w:lang w:eastAsia="zh-CN"/>
              </w:rPr>
              <w:t>；</w:t>
            </w:r>
            <w:r>
              <w:rPr>
                <w:rFonts w:hint="eastAsia"/>
                <w:szCs w:val="22"/>
              </w:rPr>
              <w:t>E:6.1.2</w:t>
            </w:r>
            <w:r>
              <w:rPr>
                <w:rFonts w:hint="eastAsia"/>
                <w:szCs w:val="22"/>
                <w:lang w:eastAsia="zh-CN"/>
              </w:rPr>
              <w:t>、</w:t>
            </w:r>
            <w:r>
              <w:rPr>
                <w:rFonts w:hint="eastAsia"/>
                <w:szCs w:val="22"/>
              </w:rPr>
              <w:t>8.1</w:t>
            </w:r>
            <w:r>
              <w:rPr>
                <w:rFonts w:hint="eastAsia"/>
                <w:szCs w:val="22"/>
                <w:lang w:eastAsia="zh-CN"/>
              </w:rPr>
              <w:t>、</w:t>
            </w:r>
            <w:r>
              <w:rPr>
                <w:rFonts w:hint="eastAsia"/>
                <w:szCs w:val="22"/>
              </w:rPr>
              <w:t>8.2</w:t>
            </w:r>
            <w:r>
              <w:rPr>
                <w:rFonts w:hint="eastAsia"/>
                <w:szCs w:val="22"/>
                <w:lang w:val="en-US" w:eastAsia="zh-CN"/>
              </w:rPr>
              <w:t xml:space="preserve">  </w:t>
            </w:r>
            <w:r>
              <w:rPr>
                <w:rFonts w:hint="eastAsia"/>
                <w:szCs w:val="22"/>
              </w:rPr>
              <w:t>EMS运行控制相关财务支出证据</w:t>
            </w:r>
          </w:p>
          <w:p>
            <w:pPr>
              <w:snapToGrid w:val="0"/>
              <w:spacing w:line="360" w:lineRule="auto"/>
              <w:rPr>
                <w:rFonts w:hint="eastAsia"/>
              </w:rPr>
            </w:pPr>
            <w:r>
              <w:rPr>
                <w:rFonts w:hint="eastAsia"/>
                <w:szCs w:val="22"/>
              </w:rPr>
              <w:t>Q：9.1.1、9.1.3</w:t>
            </w:r>
          </w:p>
        </w:tc>
        <w:tc>
          <w:tcPr>
            <w:tcW w:w="577" w:type="dxa"/>
            <w:vMerge w:val="continue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6" w:type="dxa"/>
            <w:vAlign w:val="top"/>
          </w:tcPr>
          <w:p>
            <w:pPr>
              <w:rPr>
                <w:color w:val="000000" w:themeColor="text1"/>
                <w:szCs w:val="21"/>
              </w:rPr>
            </w:pPr>
          </w:p>
          <w:p>
            <w:pPr>
              <w:rPr>
                <w:color w:val="000000" w:themeColor="text1"/>
                <w:szCs w:val="21"/>
              </w:rPr>
            </w:pPr>
          </w:p>
          <w:p>
            <w:pPr>
              <w:pStyle w:val="2"/>
              <w:rPr>
                <w:color w:val="000000" w:themeColor="text1"/>
                <w:szCs w:val="21"/>
              </w:rPr>
            </w:pPr>
          </w:p>
          <w:p>
            <w:pPr>
              <w:pStyle w:val="3"/>
              <w:rPr>
                <w:color w:val="000000" w:themeColor="text1"/>
                <w:szCs w:val="21"/>
              </w:rPr>
            </w:pPr>
          </w:p>
          <w:p>
            <w:pPr>
              <w:pStyle w:val="3"/>
              <w:rPr>
                <w:color w:val="000000" w:themeColor="text1"/>
                <w:szCs w:val="21"/>
              </w:rPr>
            </w:pPr>
          </w:p>
          <w:p>
            <w:pPr>
              <w:pStyle w:val="3"/>
              <w:rPr>
                <w:color w:val="000000" w:themeColor="text1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Cs w:val="21"/>
              </w:rPr>
              <w:t>人员、能力、培训</w:t>
            </w:r>
          </w:p>
        </w:tc>
        <w:tc>
          <w:tcPr>
            <w:tcW w:w="1164" w:type="dxa"/>
            <w:vAlign w:val="top"/>
          </w:tcPr>
          <w:p>
            <w:pPr>
              <w:pStyle w:val="16"/>
              <w:rPr>
                <w:rFonts w:ascii="宋体" w:hAnsi="宋体" w:cs="新宋体"/>
                <w:color w:val="FF0000"/>
                <w:szCs w:val="21"/>
              </w:rPr>
            </w:pPr>
          </w:p>
          <w:p>
            <w:pPr>
              <w:pStyle w:val="16"/>
              <w:rPr>
                <w:rFonts w:hint="eastAsia" w:ascii="宋体" w:hAnsi="宋体" w:cs="新宋体"/>
                <w:color w:val="FF0000"/>
                <w:szCs w:val="21"/>
              </w:rPr>
            </w:pPr>
          </w:p>
          <w:p>
            <w:pPr>
              <w:pStyle w:val="16"/>
              <w:rPr>
                <w:rFonts w:hint="eastAsia" w:ascii="宋体" w:hAnsi="宋体" w:cs="新宋体"/>
                <w:color w:val="FF0000"/>
                <w:szCs w:val="21"/>
              </w:rPr>
            </w:pPr>
          </w:p>
          <w:p>
            <w:pPr>
              <w:pStyle w:val="16"/>
              <w:rPr>
                <w:rFonts w:hint="eastAsia" w:ascii="宋体" w:hAnsi="宋体" w:cs="新宋体"/>
                <w:color w:val="FF0000"/>
                <w:szCs w:val="21"/>
              </w:rPr>
            </w:pPr>
          </w:p>
          <w:p>
            <w:pPr>
              <w:pStyle w:val="16"/>
              <w:rPr>
                <w:rFonts w:hint="eastAsia" w:ascii="宋体" w:hAnsi="宋体" w:cs="新宋体"/>
                <w:color w:val="FF0000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Q：7.1.2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E：7.2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7.3</w:t>
            </w:r>
          </w:p>
          <w:p>
            <w:pPr>
              <w:pStyle w:val="16"/>
              <w:rPr>
                <w:rFonts w:ascii="宋体" w:hAnsi="宋体" w:eastAsia="宋体" w:cs="新宋体"/>
                <w:bCs/>
                <w:color w:val="FF0000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12" w:type="dxa"/>
            <w:vAlign w:val="top"/>
          </w:tcPr>
          <w:p>
            <w:pPr>
              <w:spacing w:line="360" w:lineRule="auto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公司制定了《人力资源</w:t>
            </w:r>
            <w:r>
              <w:rPr>
                <w:rFonts w:hint="eastAsia"/>
                <w:color w:val="000000" w:themeColor="text1"/>
                <w:lang w:val="en-US" w:eastAsia="zh-CN"/>
              </w:rPr>
              <w:t>控制</w:t>
            </w:r>
            <w:r>
              <w:rPr>
                <w:rFonts w:hint="eastAsia"/>
                <w:color w:val="000000" w:themeColor="text1"/>
              </w:rPr>
              <w:t>程序》，通过培训和其他措施提高员工的能力，增强员工的质量、环境与职业健康安全管理的意识，并胜任其工作岗位。使员工满足所从事的质量、环境、职业健康安全工作对能力的要求。</w:t>
            </w:r>
          </w:p>
          <w:p>
            <w:pPr>
              <w:spacing w:line="360" w:lineRule="auto"/>
              <w:ind w:firstLine="420" w:firstLineChars="20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提供《岗位职责和任职要求》，对各部门领导层、</w:t>
            </w:r>
            <w:r>
              <w:rPr>
                <w:rFonts w:hint="eastAsia"/>
                <w:color w:val="000000" w:themeColor="text1"/>
                <w:lang w:val="en-US" w:eastAsia="zh-CN"/>
              </w:rPr>
              <w:t>行政部（财政部）</w:t>
            </w:r>
            <w:r>
              <w:rPr>
                <w:rFonts w:hint="eastAsia"/>
                <w:color w:val="000000" w:themeColor="text1"/>
              </w:rPr>
              <w:t>（成员）、</w:t>
            </w:r>
            <w:r>
              <w:rPr>
                <w:rFonts w:hint="eastAsia"/>
                <w:color w:val="000000" w:themeColor="text1"/>
                <w:lang w:val="en-US" w:eastAsia="zh-CN"/>
              </w:rPr>
              <w:t>计量检测人员</w:t>
            </w:r>
            <w:r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  <w:lang w:val="en-US" w:eastAsia="zh-CN"/>
              </w:rPr>
              <w:t>质量技术部</w:t>
            </w:r>
            <w:r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  <w:lang w:val="en-US" w:eastAsia="zh-CN"/>
              </w:rPr>
              <w:t>市场开发</w:t>
            </w:r>
            <w:r>
              <w:rPr>
                <w:rFonts w:hint="eastAsia"/>
                <w:color w:val="000000" w:themeColor="text1"/>
              </w:rPr>
              <w:t>部负责人岗位能力工作权限与内容、任职资格（经验知识个人素质、专业技能）的等作出了规定。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提供</w:t>
            </w:r>
            <w:r>
              <w:rPr>
                <w:rFonts w:hint="eastAsia"/>
                <w:color w:val="000000" w:themeColor="text1"/>
              </w:rPr>
              <w:t>《</w:t>
            </w:r>
            <w:r>
              <w:rPr>
                <w:rFonts w:hint="eastAsia"/>
                <w:color w:val="000000" w:themeColor="text1"/>
                <w:lang w:val="en-US" w:eastAsia="zh-CN"/>
              </w:rPr>
              <w:t>人员考核记录表</w:t>
            </w:r>
            <w:r>
              <w:rPr>
                <w:rFonts w:hint="eastAsia"/>
                <w:color w:val="000000" w:themeColor="text1"/>
              </w:rPr>
              <w:t>》，其中包括：总经理、管代、各部门负责人、</w:t>
            </w:r>
            <w:r>
              <w:rPr>
                <w:rFonts w:hint="eastAsia"/>
                <w:color w:val="000000" w:themeColor="text1"/>
                <w:lang w:val="en-US" w:eastAsia="zh-CN"/>
              </w:rPr>
              <w:t>专业计量人员</w:t>
            </w:r>
            <w:r>
              <w:rPr>
                <w:rFonts w:hint="eastAsia"/>
                <w:color w:val="000000" w:themeColor="text1"/>
              </w:rPr>
              <w:t>员、职业健康安全事务代表等。能够满足公司QEO管理体系运行以及体系覆盖产品生产和服务的需求。</w:t>
            </w:r>
          </w:p>
          <w:p>
            <w:pPr>
              <w:pStyle w:val="6"/>
              <w:bidi w:val="0"/>
              <w:spacing w:line="360" w:lineRule="auto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抽查：</w:t>
            </w:r>
            <w:r>
              <w:rPr>
                <w:rFonts w:hint="eastAsia"/>
                <w:color w:val="000000" w:themeColor="text1"/>
                <w:lang w:val="en-US" w:eastAsia="zh-CN"/>
              </w:rPr>
              <w:t>罗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2"/>
                <w:lang w:val="en-US" w:eastAsia="zh-CN" w:bidi="ar-SA"/>
              </w:rPr>
              <w:t>锦霞、唐浪、胡明飞等任职</w:t>
            </w:r>
            <w:r>
              <w:rPr>
                <w:rFonts w:hint="eastAsia"/>
                <w:color w:val="000000" w:themeColor="text1"/>
              </w:rPr>
              <w:t>人员，从业务知识、学习创新、</w:t>
            </w:r>
            <w:r>
              <w:rPr>
                <w:color w:val="000000" w:themeColor="text1"/>
              </w:rPr>
              <w:t>执行能力</w:t>
            </w:r>
            <w:r>
              <w:rPr>
                <w:rFonts w:hint="eastAsia"/>
                <w:color w:val="000000" w:themeColor="text1"/>
              </w:rPr>
              <w:t>、协同能力、工作效率等方面任职能力评价，综合评价：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各岗位人员均合格，能满足要求。</w:t>
            </w:r>
          </w:p>
          <w:p>
            <w:pPr>
              <w:pStyle w:val="6"/>
              <w:widowControl/>
              <w:spacing w:line="360" w:lineRule="auto"/>
              <w:ind w:firstLine="420" w:firstLineChars="200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查《培训记录表》，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内容包括：ISO9001/ISO14001/ISO45001标准的宣贯；质量、环境、职业健康安全管理体系管理手册和程序文件、质量、环境、安全意识；检验员基础知识培训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:lang w:val="en-US" w:eastAsia="zh-CN"/>
              </w:rPr>
              <w:t>溯源、量值传递之间的关系、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操作技能和改进环境表现；法规、制度、管理知识培训；应急准备和响应的有关要求；安全生产法规等培训，查培训记录、参加培训人员、培训方式、内容、考核方式等内容。</w:t>
            </w:r>
          </w:p>
          <w:p>
            <w:pPr>
              <w:pStyle w:val="6"/>
              <w:widowControl/>
              <w:spacing w:line="360" w:lineRule="auto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抽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1</w:t>
            </w: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培训时间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1月17日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，在会议室进行了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</w:rPr>
              <w:t>ISO标准培训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标准相关要素精解、公司应急准备和响应的有关要求的培训，参加人员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罗锦霞、唐浪、胡明飞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等；培训效果评价，达到预期效果。 评价人：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周洪勇</w:t>
            </w:r>
          </w:p>
          <w:p>
            <w:pPr>
              <w:pStyle w:val="6"/>
              <w:widowControl/>
              <w:spacing w:line="360" w:lineRule="auto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抽2培训时间：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</w:rPr>
              <w:t xml:space="preserve">月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16日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eastAsia="zh-CN"/>
              </w:rPr>
              <w:t>内审员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的培训，培训人员：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罗锦霞、唐浪、胡明飞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</w:rPr>
              <w:t>等。培训取得预期效果。评价人：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周洪勇</w:t>
            </w:r>
          </w:p>
          <w:p>
            <w:pPr>
              <w:pStyle w:val="6"/>
              <w:widowControl/>
              <w:spacing w:line="360" w:lineRule="auto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提供相应的培训记录，及人员签到表和培训效果评价。</w:t>
            </w:r>
          </w:p>
          <w:p>
            <w:pPr>
              <w:pStyle w:val="6"/>
              <w:widowControl/>
              <w:spacing w:line="360" w:lineRule="auto"/>
              <w:jc w:val="left"/>
              <w:rPr>
                <w:rFonts w:hint="eastAsia" w:ascii="Times New Roman" w:hAnsi="Times New Roman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:lang w:val="en-US" w:eastAsia="zh-CN"/>
              </w:rPr>
              <w:t>公司有计量员3名，提供重庆市技术质量监督局注册计量师证书：</w:t>
            </w:r>
          </w:p>
          <w:p>
            <w:pPr>
              <w:pStyle w:val="6"/>
              <w:widowControl/>
              <w:spacing w:line="360" w:lineRule="auto"/>
              <w:jc w:val="left"/>
              <w:rPr>
                <w:rFonts w:hint="default" w:ascii="Times New Roman" w:hAnsi="Times New Roman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:lang w:val="en-US" w:eastAsia="zh-CN"/>
              </w:rPr>
              <w:t>查计量员证：</w:t>
            </w:r>
          </w:p>
          <w:p>
            <w:pPr>
              <w:pStyle w:val="6"/>
              <w:widowControl/>
              <w:spacing w:line="360" w:lineRule="auto"/>
              <w:jc w:val="left"/>
              <w:rPr>
                <w:rFonts w:hint="eastAsia" w:ascii="Times New Roman" w:hAnsi="Times New Roman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:lang w:val="en-US" w:eastAsia="zh-CN"/>
              </w:rPr>
              <w:t>周洪勇，计量专业：力学、流量、水表、冷水水表检定规程等，发证日期2016.04.30有效期2021.04.29。</w:t>
            </w:r>
          </w:p>
          <w:p>
            <w:pPr>
              <w:pStyle w:val="6"/>
              <w:widowControl/>
              <w:spacing w:line="360" w:lineRule="auto"/>
              <w:jc w:val="left"/>
              <w:rPr>
                <w:rFonts w:hint="eastAsia" w:ascii="Times New Roman" w:hAnsi="Times New Roman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:lang w:val="en-US" w:eastAsia="zh-CN"/>
              </w:rPr>
              <w:t>熊远行，计量专业：力学、流量、水表、冷水水表检定规程等，发证日期2016.04.30有效期2021.04.29。</w:t>
            </w:r>
          </w:p>
          <w:p>
            <w:pPr>
              <w:pStyle w:val="6"/>
              <w:widowControl/>
              <w:jc w:val="left"/>
              <w:rPr>
                <w:rFonts w:hint="eastAsia"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/>
              </w:rPr>
              <w:drawing>
                <wp:anchor distT="0" distB="0" distL="0" distR="0" simplePos="0" relativeHeight="251702272" behindDoc="0" locked="0" layoutInCell="1" allowOverlap="1">
                  <wp:simplePos x="0" y="0"/>
                  <wp:positionH relativeFrom="column">
                    <wp:posOffset>4426585</wp:posOffset>
                  </wp:positionH>
                  <wp:positionV relativeFrom="paragraph">
                    <wp:posOffset>99060</wp:posOffset>
                  </wp:positionV>
                  <wp:extent cx="2066290" cy="2875915"/>
                  <wp:effectExtent l="0" t="0" r="3810" b="6985"/>
                  <wp:wrapSquare wrapText="bothSides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290" cy="2875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drawing>
                <wp:anchor distT="0" distB="0" distL="0" distR="0" simplePos="0" relativeHeight="251701248" behindDoc="0" locked="0" layoutInCell="1" allowOverlap="1">
                  <wp:simplePos x="0" y="0"/>
                  <wp:positionH relativeFrom="column">
                    <wp:posOffset>2279650</wp:posOffset>
                  </wp:positionH>
                  <wp:positionV relativeFrom="paragraph">
                    <wp:posOffset>85090</wp:posOffset>
                  </wp:positionV>
                  <wp:extent cx="1961515" cy="2674620"/>
                  <wp:effectExtent l="0" t="0" r="6985" b="5080"/>
                  <wp:wrapSquare wrapText="bothSides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515" cy="2674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drawing>
                <wp:inline distT="0" distB="0" distL="0" distR="0">
                  <wp:extent cx="2030095" cy="2717165"/>
                  <wp:effectExtent l="0" t="0" r="1905" b="63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0095" cy="271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widowControl/>
              <w:jc w:val="left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>目前公司人员比较稳定，人员没有变化，没有新员工，人力资源控制基本满足要求。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6" w:type="dxa"/>
            <w:vAlign w:val="top"/>
          </w:tcPr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运作环境</w:t>
            </w:r>
          </w:p>
        </w:tc>
        <w:tc>
          <w:tcPr>
            <w:tcW w:w="1164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Arial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cs="Arial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cs="Arial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 w:eastAsia="宋体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szCs w:val="21"/>
              </w:rPr>
              <w:t>Q7.1.4</w:t>
            </w:r>
          </w:p>
        </w:tc>
        <w:tc>
          <w:tcPr>
            <w:tcW w:w="11012" w:type="dxa"/>
            <w:vAlign w:val="top"/>
          </w:tcPr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  <w:lang w:val="en-US" w:eastAsia="zh-CN"/>
              </w:rPr>
              <w:t>检测</w:t>
            </w:r>
            <w:r>
              <w:rPr>
                <w:rFonts w:hint="eastAsia"/>
              </w:rPr>
              <w:t>过程对环境要求</w:t>
            </w:r>
            <w:r>
              <w:rPr>
                <w:rFonts w:hint="eastAsia"/>
                <w:lang w:val="en-US" w:eastAsia="zh-CN"/>
              </w:rPr>
              <w:t>有要求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采用空调控制温度，</w:t>
            </w:r>
            <w:r>
              <w:rPr>
                <w:rFonts w:hint="eastAsia"/>
              </w:rPr>
              <w:t>各办公区域环境卫生由各部门负责。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现场：办公环境光照、温度适宜，通风良好，电路布线合理、电气插座完整，未见破损，办公场所物品摆放整齐、有序，未见随意乱放私人物品的情况，未见用电不当等安全隐患及不良影响现象。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企业确定并提供了</w:t>
            </w:r>
            <w:r>
              <w:rPr>
                <w:rFonts w:hint="eastAsia"/>
                <w:lang w:val="en-US" w:eastAsia="zh-CN"/>
              </w:rPr>
              <w:t>检测</w:t>
            </w:r>
            <w:r>
              <w:rPr>
                <w:rFonts w:hint="eastAsia"/>
              </w:rPr>
              <w:t>要求所需的工作环境，工作环境适宜，</w:t>
            </w:r>
            <w:r>
              <w:rPr>
                <w:rFonts w:hint="eastAsia"/>
                <w:lang w:val="en-US" w:eastAsia="zh-CN"/>
              </w:rPr>
              <w:t>对环境温度、湿度进行监控</w:t>
            </w:r>
            <w:r>
              <w:rPr>
                <w:rFonts w:hint="eastAsia"/>
              </w:rPr>
              <w:t>现有工作环境能满足</w:t>
            </w:r>
            <w:r>
              <w:rPr>
                <w:rFonts w:hint="eastAsia"/>
                <w:lang w:val="en-US" w:eastAsia="zh-CN"/>
              </w:rPr>
              <w:t>检测</w:t>
            </w:r>
            <w:r>
              <w:rPr>
                <w:rFonts w:hint="eastAsia"/>
              </w:rPr>
              <w:t>的需要。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6" w:type="dxa"/>
            <w:vAlign w:val="top"/>
          </w:tcPr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组织的知识</w:t>
            </w:r>
          </w:p>
        </w:tc>
        <w:tc>
          <w:tcPr>
            <w:tcW w:w="1164" w:type="dxa"/>
            <w:vAlign w:val="top"/>
          </w:tcPr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Q：7.1.6</w:t>
            </w:r>
          </w:p>
        </w:tc>
        <w:tc>
          <w:tcPr>
            <w:tcW w:w="11012" w:type="dxa"/>
            <w:vAlign w:val="top"/>
          </w:tcPr>
          <w:p>
            <w:pPr>
              <w:autoSpaceDE w:val="0"/>
              <w:autoSpaceDN w:val="0"/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执行知识管理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制度</w:t>
            </w:r>
            <w:r>
              <w:rPr>
                <w:rFonts w:hint="eastAsia" w:ascii="宋体" w:hAnsi="宋体"/>
                <w:szCs w:val="21"/>
              </w:rPr>
              <w:t>，企业确定运行过程所需要的知识，包括专业知识、外部知识。提供了《组织知识清单》，有获取方法、更新方式、责任目标等。</w:t>
            </w:r>
          </w:p>
          <w:p>
            <w:pPr>
              <w:autoSpaceDE w:val="0"/>
              <w:autoSpaceDN w:val="0"/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经组织识别，组织内外部知识包括：外部知识、专业知识、管理经验、教训，不断发现问题、解决问题，通过会议，文件传达或制定有关作业指导书并进行培训。</w:t>
            </w:r>
          </w:p>
          <w:p>
            <w:pPr>
              <w:autoSpaceDE w:val="0"/>
              <w:autoSpaceDN w:val="0"/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现场看到组织各部门层次基本有相应的管理制度、岗位职责、工作要求等组织内部知识。此外还通过文件发放、会议传达、专题培训等方式进行内部知识的获得、交流和更新等。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</w:pPr>
            <w:r>
              <w:rPr>
                <w:rFonts w:hint="eastAsia"/>
                <w:lang w:val="en-US" w:eastAsia="zh-CN"/>
              </w:rPr>
              <w:t>质量技术部</w:t>
            </w:r>
            <w:r>
              <w:rPr>
                <w:rFonts w:hint="eastAsia"/>
              </w:rPr>
              <w:t>负责整理收集组织相关的知识，定期更新。</w:t>
            </w:r>
          </w:p>
          <w:tbl>
            <w:tblPr>
              <w:tblStyle w:val="12"/>
              <w:tblW w:w="10644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4"/>
              <w:gridCol w:w="770"/>
              <w:gridCol w:w="3560"/>
              <w:gridCol w:w="5060"/>
              <w:gridCol w:w="83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10" w:hRule="atLeast"/>
              </w:trPr>
              <w:tc>
                <w:tcPr>
                  <w:tcW w:w="1064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ind w:firstLine="3990" w:firstLineChars="1900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/>
                    </w:rPr>
                    <w:t>组织知识清单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 w:hRule="atLeast"/>
              </w:trPr>
              <w:tc>
                <w:tcPr>
                  <w:tcW w:w="4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序号</w:t>
                  </w:r>
                </w:p>
              </w:tc>
              <w:tc>
                <w:tcPr>
                  <w:tcW w:w="7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名称</w:t>
                  </w:r>
                </w:p>
              </w:tc>
              <w:tc>
                <w:tcPr>
                  <w:tcW w:w="3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获取方法</w:t>
                  </w:r>
                </w:p>
              </w:tc>
              <w:tc>
                <w:tcPr>
                  <w:tcW w:w="50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更新方式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责任部门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10" w:hRule="atLeast"/>
              </w:trPr>
              <w:tc>
                <w:tcPr>
                  <w:tcW w:w="4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1</w:t>
                  </w:r>
                </w:p>
              </w:tc>
              <w:tc>
                <w:tcPr>
                  <w:tcW w:w="7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专业知识</w:t>
                  </w:r>
                </w:p>
              </w:tc>
              <w:tc>
                <w:tcPr>
                  <w:tcW w:w="3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从网上或有关国家、行业标准、同行交流等</w:t>
                  </w:r>
                </w:p>
              </w:tc>
              <w:tc>
                <w:tcPr>
                  <w:tcW w:w="50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通过更改相关技术要求、作业指导书等并对有关人员进行培训、考核、评价</w:t>
                  </w:r>
                </w:p>
              </w:tc>
              <w:tc>
                <w:tcPr>
                  <w:tcW w:w="83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 w:bidi="ar"/>
                    </w:rPr>
                    <w:t>行政部（财政部）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2" w:hRule="atLeast"/>
              </w:trPr>
              <w:tc>
                <w:tcPr>
                  <w:tcW w:w="4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2</w:t>
                  </w:r>
                </w:p>
              </w:tc>
              <w:tc>
                <w:tcPr>
                  <w:tcW w:w="7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管理经验</w:t>
                  </w:r>
                </w:p>
              </w:tc>
              <w:tc>
                <w:tcPr>
                  <w:tcW w:w="3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网上、先进企业管理方式、总结会议等</w:t>
                  </w:r>
                </w:p>
              </w:tc>
              <w:tc>
                <w:tcPr>
                  <w:tcW w:w="50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通过制定或修改相关文件、制度，并对有关人员进行培训、考核</w:t>
                  </w:r>
                </w:p>
              </w:tc>
              <w:tc>
                <w:tcPr>
                  <w:tcW w:w="83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95" w:hRule="atLeast"/>
              </w:trPr>
              <w:tc>
                <w:tcPr>
                  <w:tcW w:w="4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3</w:t>
                  </w:r>
                </w:p>
              </w:tc>
              <w:tc>
                <w:tcPr>
                  <w:tcW w:w="7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教训</w:t>
                  </w:r>
                </w:p>
              </w:tc>
              <w:tc>
                <w:tcPr>
                  <w:tcW w:w="3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从失败、改进、预防措施总结出来经验教训</w:t>
                  </w:r>
                </w:p>
              </w:tc>
              <w:tc>
                <w:tcPr>
                  <w:tcW w:w="50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不断的发现问题、解决问题、总结经验教训，通过会议、文件传达，或制定有关作业指导书等进行培训、学习</w:t>
                  </w:r>
                </w:p>
              </w:tc>
              <w:tc>
                <w:tcPr>
                  <w:tcW w:w="83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4" w:hRule="atLeast"/>
              </w:trPr>
              <w:tc>
                <w:tcPr>
                  <w:tcW w:w="42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4</w:t>
                  </w:r>
                </w:p>
              </w:tc>
              <w:tc>
                <w:tcPr>
                  <w:tcW w:w="7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外部知识</w:t>
                  </w:r>
                </w:p>
              </w:tc>
              <w:tc>
                <w:tcPr>
                  <w:tcW w:w="3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通过与顾客、供方等走访、调查、座谈等获取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或从网上搜索有关标准、主管部门文件精神等</w:t>
                  </w:r>
                </w:p>
              </w:tc>
              <w:tc>
                <w:tcPr>
                  <w:tcW w:w="50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bidi="ar"/>
                    </w:rPr>
                    <w:t>通过修改相应的工艺标准、检验标准等进行更新，并及时对有关人员进行培训学习</w:t>
                  </w:r>
                </w:p>
              </w:tc>
              <w:tc>
                <w:tcPr>
                  <w:tcW w:w="83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pStyle w:val="3"/>
              <w:ind w:left="0" w:leftChars="0"/>
              <w:rPr>
                <w:rFonts w:hint="eastAsia" w:ascii="Times New Roman" w:hAnsi="Times New Roman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6" w:type="dxa"/>
            <w:vAlign w:val="top"/>
          </w:tcPr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</w:p>
          <w:p>
            <w:pPr>
              <w:pStyle w:val="2"/>
            </w:pPr>
          </w:p>
          <w:p>
            <w:pPr>
              <w:tabs>
                <w:tab w:val="center" w:pos="3169"/>
              </w:tabs>
              <w:spacing w:line="400" w:lineRule="exact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沟通</w:t>
            </w:r>
          </w:p>
        </w:tc>
        <w:tc>
          <w:tcPr>
            <w:tcW w:w="1164" w:type="dxa"/>
            <w:vAlign w:val="top"/>
          </w:tcPr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</w:p>
          <w:p>
            <w:pPr>
              <w:pStyle w:val="2"/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 xml:space="preserve">QE：7.4 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012" w:type="dxa"/>
            <w:vAlign w:val="top"/>
          </w:tcPr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/>
                <w:szCs w:val="21"/>
              </w:rPr>
              <w:t>执行</w:t>
            </w:r>
            <w:r>
              <w:rPr>
                <w:rFonts w:hint="eastAsia" w:ascii="宋体" w:hAnsi="宋体" w:cs="宋体"/>
                <w:szCs w:val="21"/>
                <w:lang w:bidi="ar"/>
              </w:rPr>
              <w:t>《信息交流、沟通和协商控制程序》规定了公司内外信息交流、协商的对象、方式、记录等。对部门之间有需要交流的有关安全健康管理信息，在公司内部利用部门会议、宣传栏进行安全管理方针及目标、指标、管理方案及环保法律法规等内容的宣传、沟通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 xml:space="preserve"> 公司员工参与协商，员工提出参与安全知识的学习和培训，需要发放劳保用品。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查见内部交流主要通过直接面谈、会议、文件、培训方式，外部交流主要通过电话、信函方式。也可以通过工会等员工权益机构提出诉求。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6" w:type="dxa"/>
            <w:vAlign w:val="top"/>
          </w:tcPr>
          <w:p>
            <w:pPr>
              <w:tabs>
                <w:tab w:val="center" w:pos="3169"/>
              </w:tabs>
              <w:spacing w:line="400" w:lineRule="exact"/>
              <w:ind w:firstLine="420" w:firstLineChars="200"/>
              <w:jc w:val="left"/>
            </w:pPr>
          </w:p>
          <w:p>
            <w:pPr>
              <w:pStyle w:val="2"/>
              <w:ind w:firstLine="420" w:firstLineChars="200"/>
              <w:rPr>
                <w:rFonts w:ascii="宋体" w:hAnsi="宋体" w:cs="宋体"/>
                <w:b w:val="0"/>
                <w:bCs w:val="0"/>
                <w:sz w:val="21"/>
                <w:szCs w:val="21"/>
                <w:lang w:bidi="ar"/>
              </w:rPr>
            </w:pPr>
          </w:p>
          <w:p>
            <w:pPr>
              <w:pStyle w:val="3"/>
              <w:rPr>
                <w:rFonts w:ascii="宋体" w:hAnsi="宋体" w:cs="宋体"/>
                <w:kern w:val="2"/>
                <w:szCs w:val="21"/>
                <w:lang w:bidi="ar"/>
              </w:rPr>
            </w:pPr>
          </w:p>
          <w:p>
            <w:pPr>
              <w:pStyle w:val="3"/>
              <w:rPr>
                <w:rFonts w:ascii="宋体" w:hAnsi="宋体" w:cs="宋体"/>
                <w:kern w:val="2"/>
                <w:szCs w:val="21"/>
                <w:lang w:bidi="ar"/>
              </w:rPr>
            </w:pPr>
          </w:p>
          <w:p>
            <w:pPr>
              <w:pStyle w:val="3"/>
              <w:rPr>
                <w:rFonts w:ascii="宋体" w:hAnsi="宋体" w:cs="宋体"/>
                <w:kern w:val="2"/>
                <w:szCs w:val="21"/>
                <w:lang w:bidi="ar"/>
              </w:rPr>
            </w:pPr>
          </w:p>
          <w:p>
            <w:pPr>
              <w:pStyle w:val="3"/>
              <w:rPr>
                <w:rFonts w:ascii="宋体" w:hAnsi="宋体" w:cs="宋体"/>
                <w:kern w:val="2"/>
                <w:szCs w:val="21"/>
                <w:lang w:bidi="ar"/>
              </w:rPr>
            </w:pPr>
          </w:p>
          <w:p>
            <w:pPr>
              <w:pStyle w:val="3"/>
              <w:rPr>
                <w:rFonts w:ascii="宋体" w:hAnsi="宋体" w:cs="宋体"/>
                <w:kern w:val="2"/>
                <w:szCs w:val="21"/>
                <w:lang w:bidi="ar"/>
              </w:rPr>
            </w:pPr>
          </w:p>
          <w:p>
            <w:pPr>
              <w:pStyle w:val="2"/>
              <w:ind w:firstLine="420" w:firstLineChars="20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bidi="ar"/>
              </w:rPr>
              <w:t>成文信息</w:t>
            </w:r>
          </w:p>
        </w:tc>
        <w:tc>
          <w:tcPr>
            <w:tcW w:w="1164" w:type="dxa"/>
            <w:vAlign w:val="top"/>
          </w:tcPr>
          <w:p>
            <w:pPr>
              <w:tabs>
                <w:tab w:val="center" w:pos="3169"/>
              </w:tabs>
              <w:spacing w:line="400" w:lineRule="exact"/>
              <w:jc w:val="left"/>
            </w:pPr>
          </w:p>
          <w:p>
            <w:pPr>
              <w:pStyle w:val="2"/>
            </w:pP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 xml:space="preserve">QE：7.5 </w:t>
            </w:r>
          </w:p>
          <w:p>
            <w:pPr>
              <w:pStyle w:val="3"/>
              <w:ind w:left="0" w:leftChars="0"/>
              <w:rPr>
                <w:rFonts w:hint="eastAsia" w:ascii="Times New Roman" w:hAnsi="Times New Roman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1012" w:type="dxa"/>
            <w:vAlign w:val="top"/>
          </w:tcPr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编制了</w:t>
            </w:r>
            <w:r>
              <w:rPr>
                <w:rFonts w:hint="eastAsia" w:ascii="宋体" w:hAnsi="宋体" w:cs="宋体"/>
                <w:szCs w:val="21"/>
                <w:lang w:bidi="ar"/>
              </w:rPr>
              <w:t>《文件控制程序》、《记录控制程序》，体系文件生效实施日期为201</w:t>
            </w:r>
            <w:r>
              <w:rPr>
                <w:rFonts w:hint="eastAsia" w:ascii="宋体" w:hAnsi="宋体" w:cs="宋体"/>
                <w:szCs w:val="21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szCs w:val="21"/>
                <w:lang w:bidi="ar"/>
              </w:rPr>
              <w:t>年1月1</w:t>
            </w:r>
            <w:r>
              <w:rPr>
                <w:rFonts w:hint="eastAsia" w:ascii="宋体" w:hAnsi="宋体" w:cs="宋体"/>
                <w:szCs w:val="21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szCs w:val="21"/>
                <w:lang w:bidi="ar"/>
              </w:rPr>
              <w:t>日，文件规定了质量、环境和安全职业健康文件的编制、审批、评审、编号、回收、发放、更改、换版、作废等的管理和控制。</w:t>
            </w:r>
          </w:p>
          <w:p>
            <w:pPr>
              <w:tabs>
                <w:tab w:val="center" w:pos="3169"/>
              </w:tabs>
              <w:spacing w:line="400" w:lineRule="exact"/>
              <w:ind w:firstLine="210" w:firstLineChars="100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查《受控文件清单 》，包括管理手册、程序文件，另有公司制定的《火灾应急响应规范》、《目标分解表》等作业文件。</w:t>
            </w:r>
          </w:p>
          <w:p>
            <w:pPr>
              <w:tabs>
                <w:tab w:val="center" w:pos="3169"/>
              </w:tabs>
              <w:spacing w:line="400" w:lineRule="exact"/>
              <w:ind w:firstLine="210" w:firstLineChars="100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查：《文件、发放回收记录》，抽查文件发放情况，有收文、发文的确认签字，符合文件发放规定。</w:t>
            </w:r>
          </w:p>
          <w:p>
            <w:pPr>
              <w:tabs>
                <w:tab w:val="center" w:pos="3169"/>
              </w:tabs>
              <w:spacing w:line="400" w:lineRule="exact"/>
              <w:ind w:firstLine="210" w:firstLineChars="100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查：《环境、职业健康安全法律法规及其他要求清单》，内容有国家和地方与质量、环境和职业健康安全管理体系相关适用法律法规。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文件资料基本满足岗位工作需要，并为现行有效版本。</w:t>
            </w:r>
          </w:p>
          <w:p>
            <w:pPr>
              <w:tabs>
                <w:tab w:val="center" w:pos="3169"/>
              </w:tabs>
              <w:spacing w:line="400" w:lineRule="exact"/>
              <w:ind w:firstLine="210" w:firstLineChars="100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查文件的评审及更新：管理评审时对文件的适宜性及可操作性进行评审：适宜、可操作。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 xml:space="preserve">  查文件的作废：暂无作废文件。电子文档需要责任部门留下发放记录，并告知换页处置要求。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文件按需求和公司管理规定发放至有关部门和人员，查有发放记录，符合。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口头提出待改进项目：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未对电子文档的安全性管理做出明确规定。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 xml:space="preserve"> ----有《记录控制程序》，对记录表单的设计、编号、填写、贮存、保管、保护、检索、保存期限、到期处置等方面规定了要求并按此程序控制。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提供《记录清单（含质量、环境安全）》，规定了记录的名称、编号、责任部门、保存期限等内容。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核对标准规定的应保留的记录和保存期限，标准所规定的记录均涵盖，保存期限规定的合理。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记录清单中对记录的管理、控制进行明确的分工。</w:t>
            </w:r>
            <w:r>
              <w:rPr>
                <w:rFonts w:hint="eastAsia" w:ascii="宋体" w:hAnsi="宋体" w:cs="宋体"/>
                <w:szCs w:val="21"/>
                <w:lang w:val="en-US" w:eastAsia="zh-CN" w:bidi="ar"/>
              </w:rPr>
              <w:t>行政部（财政部）</w:t>
            </w:r>
            <w:r>
              <w:rPr>
                <w:rFonts w:hint="eastAsia" w:ascii="宋体" w:hAnsi="宋体" w:cs="宋体"/>
                <w:szCs w:val="21"/>
                <w:lang w:bidi="ar"/>
              </w:rPr>
              <w:t>主要负责归档公司质量、环境及职业健康安全的标识、编目、保管、贮存，负责本程序的归口管理。见保管的记录：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a. 法律、法规及其他要求清单；b.年度培训计划等记录；c.管理评审计划等记录；d.危险源辨识及风险评价台帐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e.培训申请表f.岗位人员能力评定记录。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所见记录反映</w:t>
            </w:r>
            <w:r>
              <w:rPr>
                <w:rFonts w:hint="eastAsia" w:ascii="宋体" w:hAnsi="宋体" w:cs="宋体"/>
                <w:szCs w:val="21"/>
                <w:lang w:eastAsia="zh-CN" w:bidi="ar"/>
              </w:rPr>
              <w:t>行政部（财政部）</w:t>
            </w:r>
            <w:r>
              <w:rPr>
                <w:rFonts w:hint="eastAsia" w:ascii="宋体" w:hAnsi="宋体" w:cs="宋体"/>
                <w:szCs w:val="21"/>
                <w:lang w:bidi="ar"/>
              </w:rPr>
              <w:t>能够按照记录控制要求进行管理，记录保存完整，填写清晰、工整。记录控制符合要求</w:t>
            </w:r>
            <w:r>
              <w:rPr>
                <w:rFonts w:hint="eastAsia" w:ascii="宋体" w:hAnsi="宋体" w:cs="宋体"/>
                <w:szCs w:val="21"/>
                <w:lang w:eastAsia="zh-CN" w:bidi="ar"/>
              </w:rPr>
              <w:t>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6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运行策划和控制</w:t>
            </w:r>
          </w:p>
        </w:tc>
        <w:tc>
          <w:tcPr>
            <w:tcW w:w="1164" w:type="dxa"/>
            <w:vAlign w:val="center"/>
          </w:tcPr>
          <w:p>
            <w:pPr>
              <w:tabs>
                <w:tab w:val="left" w:pos="6597"/>
              </w:tabs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E：8.1 </w:t>
            </w:r>
          </w:p>
          <w:p>
            <w:pPr>
              <w:tabs>
                <w:tab w:val="left" w:pos="6597"/>
              </w:tabs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财务支持</w:t>
            </w:r>
          </w:p>
        </w:tc>
        <w:tc>
          <w:tcPr>
            <w:tcW w:w="11012" w:type="dxa"/>
            <w:vAlign w:val="center"/>
          </w:tcPr>
          <w:p>
            <w:pPr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制定并实施了《节约能源资源管理办法》、《火灾应急响应规范》、《消防安全管理程序》、《能源资源管理程序》、《固体废弃物控制程序》、《环境保护管理办法》、《劳保、消防用品管理办法》、《职工安全守则》、《相关方管理程序》、等环境与职业健康安全控制程序和管理制度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行政部（财政部）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定期组织环保和安全知识培训，员工具备了基本的环保和职业健康安全防护意识。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查财务支出，公司为环境和职业健康安全管理体系的运行，及时提供了财务资金支持，主要用于培训、垃圾处理、保险、劳保用品等，20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日统计支出约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行政部（财政部）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内主要是电的使用，安装有漏电保护器，现场巡视办公区域电线、电气插座完整，未见隐患。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办公纸张尽量采取双面打印，人走灯灭，定期检查水管跑冒滴漏。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行政部（财政部）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垃圾主要包含可回收垃圾、硒鼓、废纸。配置了垃圾筒，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行政部（财政部）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统一处理。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对可回收的固体废弃物，一部分由厂家回收，厂家不回收的公司统一回收再利用或由物资回收公司处理。不可回收的废弃物由公司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行政部（财政部）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统一处理，各部门不得单独处理。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查到“废弃物处置统计表”，记录了日常生活、办公过程中的可回收及不可回收的废弃物的处理情况。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部门运行控制基本符合规定要求。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6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应急准备和响应</w:t>
            </w:r>
          </w:p>
        </w:tc>
        <w:tc>
          <w:tcPr>
            <w:tcW w:w="1164" w:type="dxa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E：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8.2 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12" w:type="dxa"/>
            <w:vAlign w:val="top"/>
          </w:tcPr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编制了《应急准备和响应控制程序》，确定的紧急情况有：火灾、触电，提供了紧急情况的《应急预案》。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现场查看办公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区域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内没有配备消防设施，不符合要求，开具了不符合报告。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3月20日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进行的“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火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应急预案演练记录”，包括预案名称：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火灾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应急预案演练记录；组织部门：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行政部（财政部）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；总指挥：周洪勇；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全体员工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参加，演练部分：灭火器使用，初期火灾扑灭；另外还记录了物资准备和人员培训情况、现场培训、演练过程描述等内容。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演练后对应急预案进行了评审，评审结论：演练后，根据演练情况，认为应急预案与本公司情况基本符合，具有可操作性，暂不用修订。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2020年2月，针对新冠肺炎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疫情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公司制定了管理制度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包括：口罩发放、消杀消毒频次及记录等。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自体系运行以来尚未发生紧急情况。</w:t>
            </w:r>
          </w:p>
        </w:tc>
        <w:tc>
          <w:tcPr>
            <w:tcW w:w="577" w:type="dxa"/>
          </w:tcPr>
          <w:p/>
          <w:p>
            <w:pPr>
              <w:pStyle w:val="3"/>
              <w:ind w:left="0" w:leftChars="0" w:firstLine="0" w:firstLineChars="0"/>
              <w:rPr>
                <w:rFonts w:hint="default" w:eastAsia="宋体"/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 xml:space="preserve"> 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0" w:hRule="atLeast"/>
        </w:trPr>
        <w:tc>
          <w:tcPr>
            <w:tcW w:w="1956" w:type="dxa"/>
          </w:tcPr>
          <w:p>
            <w:pPr>
              <w:pStyle w:val="2"/>
              <w:ind w:left="0" w:leftChars="0" w:firstLine="420" w:firstLineChars="200"/>
              <w:rPr>
                <w:rFonts w:ascii="宋体" w:hAnsi="宋体" w:cs="宋体"/>
                <w:b w:val="0"/>
                <w:bCs w:val="0"/>
                <w:sz w:val="21"/>
                <w:szCs w:val="21"/>
                <w:lang w:bidi="ar"/>
              </w:rPr>
            </w:pPr>
          </w:p>
          <w:p>
            <w:pPr>
              <w:pStyle w:val="2"/>
              <w:rPr>
                <w:rFonts w:ascii="宋体" w:hAnsi="宋体" w:cs="宋体"/>
                <w:b w:val="0"/>
                <w:bCs w:val="0"/>
                <w:sz w:val="21"/>
                <w:szCs w:val="21"/>
                <w:lang w:bidi="ar"/>
              </w:rPr>
            </w:pPr>
          </w:p>
          <w:p>
            <w:pPr>
              <w:pStyle w:val="3"/>
              <w:rPr>
                <w:rFonts w:ascii="宋体" w:hAnsi="宋体" w:cs="宋体"/>
                <w:kern w:val="2"/>
                <w:szCs w:val="21"/>
                <w:lang w:bidi="ar"/>
              </w:rPr>
            </w:pPr>
          </w:p>
          <w:p>
            <w:pPr>
              <w:pStyle w:val="3"/>
              <w:rPr>
                <w:rFonts w:ascii="宋体" w:hAnsi="宋体" w:cs="宋体"/>
                <w:kern w:val="2"/>
                <w:szCs w:val="21"/>
                <w:lang w:bidi="ar"/>
              </w:rPr>
            </w:pPr>
          </w:p>
          <w:p>
            <w:pPr>
              <w:pStyle w:val="3"/>
              <w:rPr>
                <w:rFonts w:ascii="宋体" w:hAnsi="宋体" w:cs="宋体"/>
                <w:kern w:val="2"/>
                <w:szCs w:val="21"/>
                <w:lang w:bidi="ar"/>
              </w:rPr>
            </w:pPr>
          </w:p>
          <w:p>
            <w:pPr>
              <w:pStyle w:val="3"/>
              <w:rPr>
                <w:rFonts w:ascii="宋体" w:hAnsi="宋体" w:cs="宋体"/>
                <w:kern w:val="2"/>
                <w:szCs w:val="21"/>
                <w:lang w:bidi="ar"/>
              </w:rPr>
            </w:pPr>
          </w:p>
          <w:p>
            <w:pPr>
              <w:pStyle w:val="3"/>
              <w:rPr>
                <w:rFonts w:ascii="宋体" w:hAnsi="宋体" w:cs="宋体"/>
                <w:kern w:val="2"/>
                <w:szCs w:val="21"/>
                <w:lang w:bidi="ar"/>
              </w:rPr>
            </w:pPr>
          </w:p>
          <w:p>
            <w:pPr>
              <w:pStyle w:val="2"/>
              <w:rPr>
                <w:rFonts w:ascii="宋体" w:hAnsi="宋体" w:cs="宋体"/>
                <w:b w:val="0"/>
                <w:bCs w:val="0"/>
                <w:sz w:val="21"/>
                <w:szCs w:val="21"/>
                <w:lang w:bidi="ar"/>
              </w:rPr>
            </w:pPr>
          </w:p>
          <w:p>
            <w:pPr>
              <w:pStyle w:val="2"/>
              <w:rPr>
                <w:rFonts w:ascii="宋体" w:hAnsi="宋体" w:cs="宋体"/>
                <w:b w:val="0"/>
                <w:bCs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bidi="ar"/>
              </w:rPr>
              <w:t>监视、测量、分析和评价</w:t>
            </w:r>
          </w:p>
        </w:tc>
        <w:tc>
          <w:tcPr>
            <w:tcW w:w="1164" w:type="dxa"/>
          </w:tcPr>
          <w:p>
            <w:pPr>
              <w:pStyle w:val="3"/>
              <w:ind w:left="0"/>
              <w:rPr>
                <w:rFonts w:ascii="宋体" w:hAnsi="宋体" w:cs="新宋体"/>
                <w:szCs w:val="21"/>
              </w:rPr>
            </w:pPr>
          </w:p>
          <w:p>
            <w:pPr>
              <w:pStyle w:val="3"/>
              <w:ind w:left="0"/>
              <w:rPr>
                <w:rFonts w:ascii="宋体" w:hAnsi="宋体" w:cs="新宋体"/>
                <w:szCs w:val="21"/>
              </w:rPr>
            </w:pPr>
          </w:p>
          <w:p>
            <w:pPr>
              <w:pStyle w:val="3"/>
              <w:ind w:left="0"/>
              <w:rPr>
                <w:rFonts w:ascii="宋体" w:hAnsi="宋体" w:cs="新宋体"/>
                <w:szCs w:val="21"/>
              </w:rPr>
            </w:pPr>
          </w:p>
          <w:p>
            <w:pPr>
              <w:pStyle w:val="3"/>
              <w:ind w:left="0"/>
              <w:rPr>
                <w:rFonts w:ascii="宋体" w:hAnsi="宋体" w:cs="新宋体"/>
                <w:szCs w:val="21"/>
              </w:rPr>
            </w:pPr>
          </w:p>
          <w:p>
            <w:pPr>
              <w:pStyle w:val="3"/>
              <w:ind w:left="0"/>
              <w:rPr>
                <w:rFonts w:ascii="宋体" w:hAnsi="宋体" w:cs="新宋体"/>
                <w:szCs w:val="21"/>
              </w:rPr>
            </w:pPr>
          </w:p>
          <w:p>
            <w:pPr>
              <w:pStyle w:val="3"/>
              <w:ind w:left="0"/>
              <w:rPr>
                <w:rFonts w:ascii="宋体" w:hAnsi="宋体" w:cs="新宋体"/>
                <w:szCs w:val="21"/>
              </w:rPr>
            </w:pPr>
          </w:p>
          <w:p>
            <w:pPr>
              <w:pStyle w:val="3"/>
              <w:ind w:left="0"/>
              <w:rPr>
                <w:rFonts w:ascii="宋体" w:hAnsi="宋体" w:cs="新宋体"/>
                <w:szCs w:val="21"/>
              </w:rPr>
            </w:pPr>
          </w:p>
          <w:p>
            <w:pPr>
              <w:pStyle w:val="3"/>
              <w:ind w:left="0"/>
            </w:pPr>
            <w:r>
              <w:rPr>
                <w:rFonts w:hint="eastAsia" w:ascii="宋体" w:hAnsi="宋体" w:cs="Arial"/>
                <w:spacing w:val="-6"/>
                <w:szCs w:val="21"/>
              </w:rPr>
              <w:t>Q：9.1.1</w:t>
            </w:r>
            <w:r>
              <w:rPr>
                <w:rFonts w:hint="eastAsia" w:ascii="宋体" w:hAnsi="宋体" w:cs="Arial"/>
                <w:szCs w:val="21"/>
              </w:rPr>
              <w:t>、Q：9.1.3</w:t>
            </w:r>
          </w:p>
        </w:tc>
        <w:tc>
          <w:tcPr>
            <w:tcW w:w="11012" w:type="dxa"/>
          </w:tcPr>
          <w:p>
            <w:pPr>
              <w:autoSpaceDE w:val="0"/>
              <w:autoSpaceDN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编制了《产品监测及绩效监测控制程序》公司规定了管理体系相关信息的收集、汇总、分析、处理、传递的要求。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公司组织各部门策划和实施必要的监视和测量活动，确保产品、体系和过程的符合性，以持续改进质量管理体系的有效性。公司的过程和体系的监视和测量主要是通过内审、管理评审、目标考核以及日常工作监督、产品检验、顾客满意度测量等的方式完成。</w:t>
            </w:r>
          </w:p>
          <w:p>
            <w:pPr>
              <w:spacing w:line="360" w:lineRule="auto"/>
              <w:ind w:firstLine="42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提供《日常监督记录表》，</w:t>
            </w:r>
            <w:r>
              <w:rPr>
                <w:rFonts w:hint="eastAsia" w:ascii="宋体" w:hAnsi="宋体" w:cs="宋体"/>
                <w:szCs w:val="21"/>
              </w:rPr>
              <w:t>从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人员资格及资格保持情况、作业指导书及执行情况、校准/检测/检定方法为现行有效、设备检定/校准均在有效期内、仪器设备操作熟练、环境和设施均满足试验要求、样品标识均符合要求、所有原始记录按照规定进行填写，见证资料等方面进行评价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行政部</w:t>
            </w:r>
            <w:r>
              <w:rPr>
                <w:rFonts w:hint="eastAsia" w:ascii="宋体" w:hAnsi="宋体" w:cs="宋体"/>
                <w:szCs w:val="21"/>
              </w:rPr>
              <w:t>负责对体系、过程的日常监测和质量目标完成情况进行统计分析。对目标完成情况进行收集和统计分析，并制作目标完成情况统计表。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营销部</w:t>
            </w:r>
            <w:r>
              <w:rPr>
                <w:rFonts w:hint="eastAsia" w:ascii="宋体" w:hAnsi="宋体" w:cs="宋体"/>
                <w:szCs w:val="21"/>
              </w:rPr>
              <w:t>负责对供方业绩予以评价，对供方业绩实施了监视和测量，并对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cs="宋体"/>
                <w:szCs w:val="21"/>
              </w:rPr>
              <w:t>过程的监视和测量活动进行了策划和实施。</w:t>
            </w:r>
          </w:p>
          <w:p>
            <w:pPr>
              <w:autoSpaceDE w:val="0"/>
              <w:autoSpaceDN w:val="0"/>
              <w:spacing w:line="360" w:lineRule="auto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营销部</w:t>
            </w:r>
            <w:r>
              <w:rPr>
                <w:rFonts w:hint="eastAsia" w:ascii="宋体" w:hAnsi="宋体" w:cs="宋体"/>
                <w:szCs w:val="21"/>
              </w:rPr>
              <w:t>对顾客满意度进行了定期评价和分析。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公司日常通过对市场信息、目标完成情况及适宜性、营销人员过程工作监督、产品质量检验、顾客满意对测量及反馈等作为分析评价的输入，并根据输出情况及时采取了相应措施并改进，公司针对其他信息，进行了随时利用，但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并</w:t>
            </w:r>
            <w:r>
              <w:rPr>
                <w:rFonts w:hint="eastAsia" w:ascii="宋体" w:hAnsi="宋体" w:cs="宋体"/>
                <w:szCs w:val="21"/>
              </w:rPr>
              <w:t>保持相关记录，公司已建立了信息收集的渠道，并实施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。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</w:rPr>
              <w:t>公司已对管理体系的监视、测量、分析和评价进行了策划，基本能够按照要求实施。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1956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不合格和纠正措施</w:t>
            </w:r>
          </w:p>
        </w:tc>
        <w:tc>
          <w:tcPr>
            <w:tcW w:w="116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Ansi="宋体" w:cs="Arial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QE：10.2</w:t>
            </w:r>
          </w:p>
          <w:p>
            <w:pPr>
              <w:spacing w:line="360" w:lineRule="auto"/>
              <w:jc w:val="center"/>
              <w:rPr>
                <w:rFonts w:ascii="宋体" w:hAnsi="宋体" w:cs="Arial"/>
                <w:spacing w:val="-6"/>
                <w:szCs w:val="21"/>
              </w:rPr>
            </w:pPr>
          </w:p>
        </w:tc>
        <w:tc>
          <w:tcPr>
            <w:tcW w:w="11012" w:type="dxa"/>
          </w:tcPr>
          <w:p>
            <w:pPr>
              <w:spacing w:line="360" w:lineRule="auto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保持实施《事故、事件、不符合、纠正和预防措施控制程序》，对纠正预防措施识别、评审、验证，事故事件报告、调查、处理等作了规定，其内容符合组织实际及标准要求。 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查纠正措施实施情况：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对体系运行过程中产生不合格的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校准报告</w:t>
            </w:r>
            <w:r>
              <w:rPr>
                <w:rFonts w:hint="eastAsia" w:ascii="宋体" w:hAnsi="宋体" w:cs="宋体"/>
                <w:szCs w:val="21"/>
              </w:rPr>
              <w:t>，公司提供纠正措施实施报告。</w:t>
            </w:r>
          </w:p>
          <w:p>
            <w:pPr>
              <w:spacing w:line="360" w:lineRule="auto"/>
              <w:ind w:firstLine="420" w:firstLineChars="200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抽查到：1）201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szCs w:val="21"/>
              </w:rPr>
              <w:t>日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《</w:t>
            </w:r>
            <w:bookmarkStart w:id="0" w:name="_Toc58746308"/>
            <w:r>
              <w:rPr>
                <w:rFonts w:hint="eastAsia" w:ascii="宋体" w:hAnsi="宋体" w:cs="宋体"/>
                <w:szCs w:val="21"/>
                <w:lang w:val="en-US" w:eastAsia="zh-CN"/>
              </w:rPr>
              <w:t>改进、纠正和预防措施实施情况一览表</w:t>
            </w:r>
            <w:bookmarkEnd w:id="0"/>
            <w:r>
              <w:rPr>
                <w:rFonts w:hint="eastAsia" w:ascii="宋体" w:hAnsi="宋体" w:cs="宋体"/>
                <w:szCs w:val="21"/>
              </w:rPr>
              <w:t>》，不合格事实：市场部没有对邹平县东方化工有限公司进行供方评审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cs="宋体"/>
                <w:szCs w:val="21"/>
              </w:rPr>
              <w:t>责任部门负责人对问题进行了原因分析：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并进行了纠正，重新进行了评审。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2）对内审中提出不合格项进行了原因分析,并制定、实施了纠正措施，并由内审员对所采取的纠正措施进行了验证，纠正措施有效，管理评审中发现的薄弱环节，分析了原因，采取了纠正措施。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体系运行以来公司按照体系的要求，通过运行控制、加强培训，以及开展管理评审活动等方式采取预防措施，防止不符合/不合格的发生，不符合得到了有效控制，人员质量、环保、安全意识有了明显提高，没有发现潜在的不符合，没有发生重大质量事故和投诉处罚，没有发生环境、职业健康安全事件和投诉处罚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企业纠正和预防措施的管理符合标准规定要求。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</w:trPr>
        <w:tc>
          <w:tcPr>
            <w:tcW w:w="1956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环境因素/危险源</w:t>
            </w:r>
          </w:p>
        </w:tc>
        <w:tc>
          <w:tcPr>
            <w:tcW w:w="1164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pStyle w:val="3"/>
              <w:ind w:left="0" w:leftChars="0" w:firstLine="0" w:firstLineChars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E：6.1.2 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12" w:type="dxa"/>
            <w:vAlign w:val="top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企业编制了《环境因素识别与评价控制程序》、《危险源辨识和风险评价控制程序》，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行政部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作为环境和职业健康安全管理体系的推进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部门，主要负责识别评价相关的环境因素及危险源。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各部门根据业务范围分别识别，最后由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统一汇总。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提供了“环境因素识别评价汇总表”，识别考虑了正常、异常、紧急，过去、现在、未来三种时态，考虑了供方、客户等可施加影响的环境因素。其中涉及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的环境因素主要有水、电、纸张资源及生活固废排放、办公固废排放、火灾等，识别时能考虑产品生命周期观点。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查“重要环境因素清单”，采取多因子评价法，评价出固体废弃物排放、火灾事故的发生等2项重要环境因素。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经评价本部门的重要环境因素为日常办公过程中固体废弃物排放、火灾事故的发生等2项重要环境因素。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控制措施：固废分类存放、办公危废交耗材供应公司，垃圾由环卫部门拉走，包装物分类卖掉，日常培训，日常检查，配备消防器材等措施。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“危险源辨识和风险评价一览表”，识别了办公过程、采购及销售过程、检验过程中的危险源。包括办公、采购、销售、检验等过程中的办公设备辐射、办公车辆使用等使用不当导致人身伤害、检验活动过程中的划伤；采购及销售过程中的运输汽车事故等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涉及本部门的危险源有办公活动过程中电脑辐射、被桌柜撞伤、线路老化触电、火灾等。经评价本部门重大危险源：电器使用操作不当引起的触电、火灾事故。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提供“重大危险源清单”，对识别的危险源采取D=LEC进行评价，评价出重大危险源3个，包括：火灾、人员伤害、触电事故等。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危险源控制执行管理方案、配备消防器材、个体防护、日常检查、日常培训教育等运行控制措施等。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1956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合规义务</w:t>
            </w:r>
          </w:p>
        </w:tc>
        <w:tc>
          <w:tcPr>
            <w:tcW w:w="1164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pStyle w:val="3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pStyle w:val="3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E：6.1.3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12" w:type="dxa"/>
            <w:vAlign w:val="center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建立实施了《法律法规和其他要求获取、确认及合规性评价程序》。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查《质量--法律法规和其他要求清单》，共识别相关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质量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法律法规：2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环境--法律法规和其他要求清单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共识别相关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环境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法律法规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37项；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职业健康安全--法律法规和其他要求清单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共识别相关职业健康安全法律法规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36项。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其中包括：最新版的《中华人民共和国环境保护法》、《中华人民共和国固体废物污染环境防治法》、《中华人民共和国水污染防治法》、《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陕西省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消防条例》、《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陕西省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劳动保障和监察条例》、《环境行政处罚办法》、《中华人民共和国安全生产法》、《中华人民共和国职业病防治法》、《工伤保险条例》等。已识别法律法规及其它要求的适用条款，能与环境因素、危险源向对应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根据需要随时网上获取、识别更新，并通过培训、宣传、会议等形式传达给员工和相关方，各部门如有需要随时到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查阅。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1956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措施的策划</w:t>
            </w:r>
          </w:p>
        </w:tc>
        <w:tc>
          <w:tcPr>
            <w:tcW w:w="1164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E：6.1.4</w:t>
            </w:r>
          </w:p>
        </w:tc>
        <w:tc>
          <w:tcPr>
            <w:tcW w:w="11012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根据环境因素和危险源的风险辨识结果，分别制定出“重要环境因素清单”、“重大危险源清单”，清单内明确了控制措施计划，通过具体的措施进行有效控制：目标、管理方案、管理制度运行控制、应急预案、日常检查、日常培训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制定了《法律法规和其他要求获取、确认及合规性评价程序》、《产品监测及绩效监测控制程序》，每年对公司适用的合规义务进行识别更新并定期评价、检查。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经组织评价，组织策划的措施基本能够满足风险和机遇应对需要，能够与识别的风险和机遇对产品符合性的潜在影响相适应，基本满足标准要求。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1" w:hRule="atLeast"/>
        </w:trPr>
        <w:tc>
          <w:tcPr>
            <w:tcW w:w="1956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合规性评价</w:t>
            </w:r>
          </w:p>
        </w:tc>
        <w:tc>
          <w:tcPr>
            <w:tcW w:w="1164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E：9.1.2 </w:t>
            </w:r>
          </w:p>
        </w:tc>
        <w:tc>
          <w:tcPr>
            <w:tcW w:w="11012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公司制定了：《合规性评价程序》，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查“环境法律法规及其他要求合规性评价记录表”，对公司适用的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个法律法规和其他要求进行了评价，全部符合要求。评价结果表明，公司废弃物的排放符合国家法律法规要求，未发生环境事故; 公司经营活动符合国家环保等法律法规要求。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查“适用职业健康安全法律法规标准和其他要求合规性评价记录表”，对公司适用的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个法律法规和其他要求进行了评价，全部符合要求。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956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监视、测量、分析和评价</w:t>
            </w:r>
          </w:p>
        </w:tc>
        <w:tc>
          <w:tcPr>
            <w:tcW w:w="1164" w:type="dxa"/>
            <w:vAlign w:val="center"/>
          </w:tcPr>
          <w:p>
            <w:pPr>
              <w:tabs>
                <w:tab w:val="left" w:pos="6597"/>
              </w:tabs>
              <w:spacing w:line="360" w:lineRule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E：9.1.1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012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公司编制《产品监测及绩效监测控制程序》，部门通过月度巡查考核对各部门进行监控。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查“质量、环境和职业健康安全目标指标考核表”，2019.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.5日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对质量、环境、职业健康安全目标完成情况进行了检测，目标能按期达成，检查人：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孟宏涛、李楠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查到“管理方案检测表”对管理方案完成情况进行了检查，措施基本能按期，其余的预计年底完成，检查日期2019.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.5日，检查人：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孟宏涛、李楠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提供“环境安全管理检查记录”，每月对各部门进行环境安全事项的例行检查，检查项目包括资源能源使用、固体废弃物管理、污水控制、消防设施管理、管理方案控制等。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提供“消防器材检查记录”，每月对各部门进行线路和消防的例行检查。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ind w:left="0" w:leftChars="0"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《企业日常自查表》，对疫情相关的方面进行了监视、检测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6、提供日常监督检测原始记录，每月对人员设备的操作、作业指导书的执行、检测方法的有效性等方面进行监督。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7、提供安全检查记录：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、经交流确认，公司无安全、环境检测设备。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、经交流确认，公司员工不涉及职业病。</w:t>
            </w:r>
          </w:p>
        </w:tc>
        <w:tc>
          <w:tcPr>
            <w:tcW w:w="577" w:type="dxa"/>
          </w:tcPr>
          <w:p>
            <w:pPr>
              <w:rPr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1956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运行策划和控制</w:t>
            </w:r>
          </w:p>
        </w:tc>
        <w:tc>
          <w:tcPr>
            <w:tcW w:w="1164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E：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8.1 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财务支持</w:t>
            </w:r>
          </w:p>
        </w:tc>
        <w:tc>
          <w:tcPr>
            <w:tcW w:w="11012" w:type="dxa"/>
            <w:vAlign w:val="center"/>
          </w:tcPr>
          <w:p>
            <w:pPr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制定并实施了《节约能源资源管理办法》、《火灾应急响应规范》、《消防安全管理程序》、《能源资源管理程序》、《固体废弃物控制程序》、《环境保护管理办法》、《劳保、消防用品管理办法》、《职工安全守则》、《相关方管理程序》、等环境与职业健康安全控制程序和管理制度。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企业位于西安经济技术开发区草滩六路268号，公司四周是其他企业单位，无医院、学校、加油站、化工厂等敏感区。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定期组织环保和安全知识培训，员工具备了基本的环保和职业健康安全防护意识。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查财务支出，公司为环境和职业健康安全管理体系的运行，及时提供了财务资金支持，主要用于培训、垃圾处理、保险、劳保用品等，201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20.1.5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日统计支出约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内主要是电的使用，安装有漏电保护器，现场巡视办公区域电线、电气插座完整，未见隐患。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办公纸张尽量采取双面打印，人走灯灭，定期检查水管跑冒滴漏。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垃圾主要包含可回收垃圾、硒鼓、废纸。配置了垃圾筒，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统一处理。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对可回收的固体废弃物，一部分由厂家回收，厂家不回收的公司统一回收再利用或由物资回收公司处理。不可回收的废弃物由公司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统一处理，各部门不得单独处理。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查到“废弃物处置统计表”，记录了日常生活、办公过程中的可回收及不可回收的废弃物的处理情况。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部门运行控制基本符合规定要求。</w:t>
            </w:r>
          </w:p>
        </w:tc>
        <w:tc>
          <w:tcPr>
            <w:tcW w:w="577" w:type="dxa"/>
          </w:tcPr>
          <w:p>
            <w:pPr>
              <w:rPr>
                <w:rFonts w:hint="eastAsia" w:ascii="宋体" w:hAnsi="宋体" w:eastAsia="宋体" w:cs="宋体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1956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应急准备和响应</w:t>
            </w:r>
          </w:p>
        </w:tc>
        <w:tc>
          <w:tcPr>
            <w:tcW w:w="1164" w:type="dxa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：8.2 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012" w:type="dxa"/>
            <w:vAlign w:val="top"/>
          </w:tcPr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编制了《应急准备和响应控制程序》，确定的紧急情况有：火灾、触电，提供了紧急情况的《应急预案》。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《火灾爆炸事故专项应急预案》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《触电事故专项应急预案》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，其中包括目的、适用范围、职责、应急处理细则、演习、必备资料等，相关内容基本充分。编制：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，批准：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周洪勇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年1月。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现场查看办公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区域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内没有配备消防设施，不符合要求，开具了不符合报告。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日进行的“应急预案演练记录”，包括预案名称：消防应急预案；组织部门：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；总指挥：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孟宏涛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全体员工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参加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演练部分：灭火器使用，初期火灾扑灭；另外还记录了物资准备和人员培训情况、现场培训、演练过程描述等内容。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演练后对应急预案进行了评审，评审结论：演练后，根据演练情况，认为应急预案与本公司情况基本符合，具有可操作性，暂不用修订。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2020年2月，针对新冠肺炎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疫情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公司制定了管理制度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包括：口罩发放、消杀消毒频次及记录等。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自体系运行以来尚未发生紧急情况。</w:t>
            </w:r>
          </w:p>
        </w:tc>
        <w:tc>
          <w:tcPr>
            <w:tcW w:w="577" w:type="dxa"/>
          </w:tcPr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  <w:t>N</w:t>
            </w:r>
          </w:p>
          <w:p>
            <w:pPr>
              <w:pStyle w:val="3"/>
              <w:rPr>
                <w:rFonts w:hint="eastAsia" w:ascii="宋体" w:hAnsi="宋体" w:eastAsia="宋体" w:cs="宋体"/>
                <w:color w:val="000000" w:themeColor="text1"/>
              </w:rPr>
            </w:pPr>
          </w:p>
          <w:p>
            <w:pPr>
              <w:pStyle w:val="3"/>
              <w:rPr>
                <w:rFonts w:hint="eastAsia" w:ascii="宋体" w:hAnsi="宋体" w:eastAsia="宋体" w:cs="宋体"/>
                <w:color w:val="000000" w:themeColor="text1"/>
              </w:rPr>
            </w:pPr>
          </w:p>
          <w:p>
            <w:pPr>
              <w:pStyle w:val="3"/>
              <w:rPr>
                <w:rFonts w:hint="eastAsia" w:ascii="宋体" w:hAnsi="宋体" w:eastAsia="宋体" w:cs="宋体"/>
                <w:color w:val="000000" w:themeColor="text1"/>
              </w:rPr>
            </w:pPr>
          </w:p>
          <w:p>
            <w:pPr>
              <w:pStyle w:val="3"/>
              <w:rPr>
                <w:rFonts w:hint="eastAsia" w:ascii="宋体" w:hAnsi="宋体" w:eastAsia="宋体" w:cs="宋体"/>
                <w:color w:val="000000" w:themeColor="text1"/>
              </w:rPr>
            </w:pPr>
          </w:p>
          <w:p>
            <w:pPr>
              <w:pStyle w:val="3"/>
              <w:rPr>
                <w:rFonts w:hint="eastAsia" w:ascii="宋体" w:hAnsi="宋体" w:eastAsia="宋体" w:cs="宋体"/>
                <w:color w:val="000000" w:themeColor="text1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</w:p>
    <w:p>
      <w:pPr>
        <w:pStyle w:val="9"/>
      </w:pPr>
      <w:r>
        <w:rPr>
          <w:rFonts w:hint="eastAsia" w:ascii="宋体" w:hAnsi="宋体" w:eastAsia="宋体" w:cs="宋体"/>
        </w:rPr>
        <w:t>说明：不符合标注N</w:t>
      </w: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</w:sdtPr>
    <w:sdtContent>
      <w:sdt>
        <w:sdtPr>
          <w:id w:val="171357217"/>
        </w:sdtPr>
        <w:sdtContent>
          <w:p>
            <w:pPr>
              <w:pStyle w:val="9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20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20"/>
        <w:rFonts w:hint="default"/>
      </w:rPr>
      <w:t>北京国标联合认证有限公司</w:t>
    </w:r>
    <w:r>
      <w:rPr>
        <w:rStyle w:val="20"/>
        <w:rFonts w:hint="default"/>
      </w:rPr>
      <w:tab/>
    </w:r>
    <w:r>
      <w:rPr>
        <w:rStyle w:val="20"/>
        <w:rFonts w:hint="default"/>
      </w:rPr>
      <w:tab/>
    </w:r>
    <w:r>
      <w:rPr>
        <w:rStyle w:val="20"/>
        <w:rFonts w:hint="default"/>
      </w:rPr>
      <w:tab/>
    </w:r>
  </w:p>
  <w:p>
    <w:pPr>
      <w:pStyle w:val="10"/>
      <w:pBdr>
        <w:bottom w:val="none" w:color="auto" w:sz="0" w:space="1"/>
      </w:pBdr>
      <w:spacing w:line="320" w:lineRule="exact"/>
      <w:jc w:val="left"/>
    </w:pPr>
    <w:r>
      <w:pict>
        <v:shape id="文本框 1" o:spid="_x0000_s4097" o:spt="202" type="#_x0000_t202" style="position:absolute;left:0pt;margin-left:554.75pt;margin-top:2.2pt;height:20.2pt;width:172pt;z-index:251661312;mso-width-relative:page;mso-height-relative:page;" stroked="f" coordsize="21600,21600" o:gfxdata="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DVqXNcA&#10;AAAJAQAADwAAAAAAAAABACAAAAAiAAAAZHJzL2Rvd25yZXYueG1sUEsBAhQAFAAAAAgAh07iQEPN&#10;lhyuAQAAMgMAAA4AAAAAAAAAAQAgAAAAJgEAAGRycy9lMm9Eb2MueG1sUEsFBgAAAAAGAAYAWQEA&#10;AEYFAAAAAA==&#10;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>
                  <w:rPr>
                    <w:rFonts w:hint="eastAsia"/>
                    <w:sz w:val="18"/>
                    <w:szCs w:val="18"/>
                  </w:rPr>
                  <w:t>-31管理体系审核记录表(03版</w:t>
                </w:r>
              </w:p>
            </w:txbxContent>
          </v:textbox>
        </v:shape>
      </w:pict>
    </w:r>
    <w:r>
      <w:rPr>
        <w:rStyle w:val="20"/>
        <w:rFonts w:hint="default"/>
      </w:rPr>
      <w:t xml:space="preserve">        </w:t>
    </w:r>
    <w:r>
      <w:rPr>
        <w:rStyle w:val="20"/>
        <w:rFonts w:hint="default"/>
        <w:w w:val="90"/>
      </w:rPr>
      <w:t>Beijing International Standard united Certification Co.,Ltd.</w:t>
    </w:r>
    <w:r>
      <w:rPr>
        <w:rStyle w:val="20"/>
        <w:rFonts w:hint="default"/>
        <w:w w:val="90"/>
        <w:szCs w:val="21"/>
      </w:rPr>
      <w:t xml:space="preserve">  </w:t>
    </w:r>
    <w:r>
      <w:rPr>
        <w:rStyle w:val="20"/>
        <w:rFonts w:hint="default"/>
        <w:w w:val="90"/>
        <w:sz w:val="20"/>
      </w:rPr>
      <w:t xml:space="preserve"> </w:t>
    </w:r>
    <w:r>
      <w:rPr>
        <w:rStyle w:val="20"/>
        <w:rFonts w:hint="default"/>
        <w:w w:val="90"/>
      </w:rPr>
      <w:t xml:space="preserve">                   </w:t>
    </w:r>
  </w:p>
  <w:p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lvl w:ilvl="0" w:tentative="0">
      <w:start w:val="1"/>
      <w:numFmt w:val="none"/>
      <w:pStyle w:val="21"/>
      <w:lvlText w:val="表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58A54BD"/>
    <w:multiLevelType w:val="singleLevel"/>
    <w:tmpl w:val="558A54B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73B4"/>
    <w:rsid w:val="000237F6"/>
    <w:rsid w:val="0003373A"/>
    <w:rsid w:val="001A2D7F"/>
    <w:rsid w:val="00216381"/>
    <w:rsid w:val="00234E37"/>
    <w:rsid w:val="00337922"/>
    <w:rsid w:val="00340867"/>
    <w:rsid w:val="00380837"/>
    <w:rsid w:val="003A198A"/>
    <w:rsid w:val="00410914"/>
    <w:rsid w:val="0047492E"/>
    <w:rsid w:val="00536930"/>
    <w:rsid w:val="00564E53"/>
    <w:rsid w:val="005879D0"/>
    <w:rsid w:val="00644FE2"/>
    <w:rsid w:val="00647436"/>
    <w:rsid w:val="0067640C"/>
    <w:rsid w:val="006915E5"/>
    <w:rsid w:val="006E678B"/>
    <w:rsid w:val="00774C81"/>
    <w:rsid w:val="007757F3"/>
    <w:rsid w:val="007E6AEB"/>
    <w:rsid w:val="00882229"/>
    <w:rsid w:val="008973EE"/>
    <w:rsid w:val="00971600"/>
    <w:rsid w:val="009973B4"/>
    <w:rsid w:val="009C28C1"/>
    <w:rsid w:val="009F7EED"/>
    <w:rsid w:val="00AF0AAB"/>
    <w:rsid w:val="00BF597E"/>
    <w:rsid w:val="00C51A36"/>
    <w:rsid w:val="00C55228"/>
    <w:rsid w:val="00C96CCE"/>
    <w:rsid w:val="00CB7E78"/>
    <w:rsid w:val="00CE315A"/>
    <w:rsid w:val="00D06F59"/>
    <w:rsid w:val="00D8388C"/>
    <w:rsid w:val="00EB0164"/>
    <w:rsid w:val="00ED0F62"/>
    <w:rsid w:val="01237055"/>
    <w:rsid w:val="014321E6"/>
    <w:rsid w:val="02602D37"/>
    <w:rsid w:val="02A361C3"/>
    <w:rsid w:val="02EC0344"/>
    <w:rsid w:val="02FA74D1"/>
    <w:rsid w:val="031C06B3"/>
    <w:rsid w:val="036A70FE"/>
    <w:rsid w:val="03F04342"/>
    <w:rsid w:val="043A2F29"/>
    <w:rsid w:val="055A79E5"/>
    <w:rsid w:val="06B657DF"/>
    <w:rsid w:val="06D549D6"/>
    <w:rsid w:val="06EA2337"/>
    <w:rsid w:val="06FF764D"/>
    <w:rsid w:val="07074179"/>
    <w:rsid w:val="072106AC"/>
    <w:rsid w:val="07F82E75"/>
    <w:rsid w:val="08037204"/>
    <w:rsid w:val="08713D93"/>
    <w:rsid w:val="088E4159"/>
    <w:rsid w:val="08FC0128"/>
    <w:rsid w:val="090D6A35"/>
    <w:rsid w:val="094249D9"/>
    <w:rsid w:val="0A4E083A"/>
    <w:rsid w:val="0A527FAF"/>
    <w:rsid w:val="0A8A1863"/>
    <w:rsid w:val="0A991BFD"/>
    <w:rsid w:val="0ACC5B2B"/>
    <w:rsid w:val="0B522200"/>
    <w:rsid w:val="0B53515A"/>
    <w:rsid w:val="0C0A0CD1"/>
    <w:rsid w:val="0D457309"/>
    <w:rsid w:val="0D7B30E8"/>
    <w:rsid w:val="0D985F2F"/>
    <w:rsid w:val="0DBE1270"/>
    <w:rsid w:val="0DC26A87"/>
    <w:rsid w:val="0E4201EE"/>
    <w:rsid w:val="0E975C68"/>
    <w:rsid w:val="0E9D1693"/>
    <w:rsid w:val="0EB50B3B"/>
    <w:rsid w:val="0EF04609"/>
    <w:rsid w:val="0F477E75"/>
    <w:rsid w:val="0F635936"/>
    <w:rsid w:val="0FE43FBC"/>
    <w:rsid w:val="0FEF77FA"/>
    <w:rsid w:val="107550D5"/>
    <w:rsid w:val="108219C2"/>
    <w:rsid w:val="10883E8A"/>
    <w:rsid w:val="110B0911"/>
    <w:rsid w:val="11225C23"/>
    <w:rsid w:val="113D55B8"/>
    <w:rsid w:val="11C66B5E"/>
    <w:rsid w:val="11D41D45"/>
    <w:rsid w:val="11EE0B73"/>
    <w:rsid w:val="120E53B5"/>
    <w:rsid w:val="123034E8"/>
    <w:rsid w:val="125E29DC"/>
    <w:rsid w:val="127575BD"/>
    <w:rsid w:val="12780633"/>
    <w:rsid w:val="130B599F"/>
    <w:rsid w:val="142C5ADC"/>
    <w:rsid w:val="143D632D"/>
    <w:rsid w:val="143D7BB1"/>
    <w:rsid w:val="14890295"/>
    <w:rsid w:val="153717A5"/>
    <w:rsid w:val="156D05A1"/>
    <w:rsid w:val="15774AEE"/>
    <w:rsid w:val="157D5558"/>
    <w:rsid w:val="15B23614"/>
    <w:rsid w:val="15D30DE7"/>
    <w:rsid w:val="15E0743A"/>
    <w:rsid w:val="16440ED9"/>
    <w:rsid w:val="16543128"/>
    <w:rsid w:val="16F7510A"/>
    <w:rsid w:val="17924A21"/>
    <w:rsid w:val="17A67230"/>
    <w:rsid w:val="17BE048E"/>
    <w:rsid w:val="18327362"/>
    <w:rsid w:val="18D3715E"/>
    <w:rsid w:val="197C75B5"/>
    <w:rsid w:val="19F57190"/>
    <w:rsid w:val="1A57282B"/>
    <w:rsid w:val="1AA210F7"/>
    <w:rsid w:val="1AC67B71"/>
    <w:rsid w:val="1B0065D0"/>
    <w:rsid w:val="1B087E14"/>
    <w:rsid w:val="1BAA2FBD"/>
    <w:rsid w:val="1CAD5010"/>
    <w:rsid w:val="1D1242D7"/>
    <w:rsid w:val="1D86717A"/>
    <w:rsid w:val="1E350D4D"/>
    <w:rsid w:val="1E54581A"/>
    <w:rsid w:val="1E6E174C"/>
    <w:rsid w:val="1ED45FD8"/>
    <w:rsid w:val="200E4909"/>
    <w:rsid w:val="202C6533"/>
    <w:rsid w:val="20444302"/>
    <w:rsid w:val="20961A16"/>
    <w:rsid w:val="21122D5D"/>
    <w:rsid w:val="214E0097"/>
    <w:rsid w:val="221C084C"/>
    <w:rsid w:val="227257C1"/>
    <w:rsid w:val="22B709AE"/>
    <w:rsid w:val="22D7582D"/>
    <w:rsid w:val="23235F87"/>
    <w:rsid w:val="23732F32"/>
    <w:rsid w:val="24BD65A1"/>
    <w:rsid w:val="255D6D75"/>
    <w:rsid w:val="25C71E86"/>
    <w:rsid w:val="25D826BB"/>
    <w:rsid w:val="261D2BC4"/>
    <w:rsid w:val="263E019F"/>
    <w:rsid w:val="26BB47F8"/>
    <w:rsid w:val="26F45C8F"/>
    <w:rsid w:val="27571BB0"/>
    <w:rsid w:val="275D5156"/>
    <w:rsid w:val="282355F9"/>
    <w:rsid w:val="28C8582D"/>
    <w:rsid w:val="28DF2BCF"/>
    <w:rsid w:val="291202D2"/>
    <w:rsid w:val="299C23FC"/>
    <w:rsid w:val="29AA0642"/>
    <w:rsid w:val="29AF13DF"/>
    <w:rsid w:val="29F80E54"/>
    <w:rsid w:val="2B3D669F"/>
    <w:rsid w:val="2B612389"/>
    <w:rsid w:val="2C04664A"/>
    <w:rsid w:val="2C917839"/>
    <w:rsid w:val="2CAE49F5"/>
    <w:rsid w:val="2CD45FEF"/>
    <w:rsid w:val="2D297257"/>
    <w:rsid w:val="2D8E612A"/>
    <w:rsid w:val="2DCF4236"/>
    <w:rsid w:val="2DF31F93"/>
    <w:rsid w:val="2E057899"/>
    <w:rsid w:val="2E620A04"/>
    <w:rsid w:val="2E9176CC"/>
    <w:rsid w:val="2EA7415A"/>
    <w:rsid w:val="2ED7287D"/>
    <w:rsid w:val="2F5D67DC"/>
    <w:rsid w:val="2F7A01DB"/>
    <w:rsid w:val="30FD47FD"/>
    <w:rsid w:val="310367F7"/>
    <w:rsid w:val="310F2B74"/>
    <w:rsid w:val="31BB2B41"/>
    <w:rsid w:val="31CD2D76"/>
    <w:rsid w:val="32734E29"/>
    <w:rsid w:val="327711BB"/>
    <w:rsid w:val="32860EED"/>
    <w:rsid w:val="32A818D5"/>
    <w:rsid w:val="330F505D"/>
    <w:rsid w:val="33137513"/>
    <w:rsid w:val="3328502A"/>
    <w:rsid w:val="332B0841"/>
    <w:rsid w:val="33997DE2"/>
    <w:rsid w:val="3494193A"/>
    <w:rsid w:val="34DA7F4E"/>
    <w:rsid w:val="352019F8"/>
    <w:rsid w:val="35AE2D88"/>
    <w:rsid w:val="35C13BFD"/>
    <w:rsid w:val="35C26EE4"/>
    <w:rsid w:val="38103FE1"/>
    <w:rsid w:val="3814590E"/>
    <w:rsid w:val="387E5472"/>
    <w:rsid w:val="38A65FDB"/>
    <w:rsid w:val="38C248EF"/>
    <w:rsid w:val="393A51D1"/>
    <w:rsid w:val="39A04658"/>
    <w:rsid w:val="3A211CE4"/>
    <w:rsid w:val="3B59769B"/>
    <w:rsid w:val="3B5F54C4"/>
    <w:rsid w:val="3BF3205C"/>
    <w:rsid w:val="3C871C4F"/>
    <w:rsid w:val="3C9A2BF5"/>
    <w:rsid w:val="3D5B555C"/>
    <w:rsid w:val="3D951246"/>
    <w:rsid w:val="3D9A6CF0"/>
    <w:rsid w:val="3DB92AC4"/>
    <w:rsid w:val="3EC07009"/>
    <w:rsid w:val="3F1C24D3"/>
    <w:rsid w:val="3F1F20F4"/>
    <w:rsid w:val="3FFD17CC"/>
    <w:rsid w:val="40425DD8"/>
    <w:rsid w:val="406E64DA"/>
    <w:rsid w:val="40882793"/>
    <w:rsid w:val="40FF3C83"/>
    <w:rsid w:val="416877C4"/>
    <w:rsid w:val="41846EFA"/>
    <w:rsid w:val="41C50928"/>
    <w:rsid w:val="42A83790"/>
    <w:rsid w:val="42D005BA"/>
    <w:rsid w:val="42D62122"/>
    <w:rsid w:val="43543C1C"/>
    <w:rsid w:val="43587CD0"/>
    <w:rsid w:val="43B04046"/>
    <w:rsid w:val="44483C60"/>
    <w:rsid w:val="45A25B1E"/>
    <w:rsid w:val="45BE3CAA"/>
    <w:rsid w:val="461A5941"/>
    <w:rsid w:val="461C30E9"/>
    <w:rsid w:val="463175C9"/>
    <w:rsid w:val="46A0119E"/>
    <w:rsid w:val="46CB5A97"/>
    <w:rsid w:val="46DB4564"/>
    <w:rsid w:val="479033F0"/>
    <w:rsid w:val="47FF0F4B"/>
    <w:rsid w:val="48160645"/>
    <w:rsid w:val="48210BFD"/>
    <w:rsid w:val="48752520"/>
    <w:rsid w:val="48D92A98"/>
    <w:rsid w:val="493A73ED"/>
    <w:rsid w:val="4A02594A"/>
    <w:rsid w:val="4A174CB7"/>
    <w:rsid w:val="4A44692D"/>
    <w:rsid w:val="4B511DE2"/>
    <w:rsid w:val="4B7E721E"/>
    <w:rsid w:val="4C017549"/>
    <w:rsid w:val="4CFF3B84"/>
    <w:rsid w:val="4D4E2263"/>
    <w:rsid w:val="4DEF6980"/>
    <w:rsid w:val="4EA8785F"/>
    <w:rsid w:val="4F9420A0"/>
    <w:rsid w:val="4FA333A8"/>
    <w:rsid w:val="4FC219C0"/>
    <w:rsid w:val="50A05722"/>
    <w:rsid w:val="50FA26C7"/>
    <w:rsid w:val="51B07021"/>
    <w:rsid w:val="52BF26AB"/>
    <w:rsid w:val="53444639"/>
    <w:rsid w:val="537E350F"/>
    <w:rsid w:val="546315FC"/>
    <w:rsid w:val="55204D35"/>
    <w:rsid w:val="552B454E"/>
    <w:rsid w:val="556D7264"/>
    <w:rsid w:val="55C73815"/>
    <w:rsid w:val="56880B28"/>
    <w:rsid w:val="56CD4008"/>
    <w:rsid w:val="56DE0281"/>
    <w:rsid w:val="578E143A"/>
    <w:rsid w:val="58886998"/>
    <w:rsid w:val="58AE4BFC"/>
    <w:rsid w:val="58D04D08"/>
    <w:rsid w:val="58D12569"/>
    <w:rsid w:val="59226013"/>
    <w:rsid w:val="593A21B0"/>
    <w:rsid w:val="594D1804"/>
    <w:rsid w:val="5955745C"/>
    <w:rsid w:val="5A2C536F"/>
    <w:rsid w:val="5A4F418C"/>
    <w:rsid w:val="5A8710A3"/>
    <w:rsid w:val="5AFE756D"/>
    <w:rsid w:val="5B4A53A2"/>
    <w:rsid w:val="5C083D41"/>
    <w:rsid w:val="5C872F74"/>
    <w:rsid w:val="5D036FFF"/>
    <w:rsid w:val="5E090F09"/>
    <w:rsid w:val="5E243229"/>
    <w:rsid w:val="5E2D3CAF"/>
    <w:rsid w:val="5E7D51D5"/>
    <w:rsid w:val="5E9A53DF"/>
    <w:rsid w:val="5EA12B9A"/>
    <w:rsid w:val="5EAC1CF0"/>
    <w:rsid w:val="5EB9199F"/>
    <w:rsid w:val="5EBF0B8F"/>
    <w:rsid w:val="5F5C20A2"/>
    <w:rsid w:val="5F6B5B9C"/>
    <w:rsid w:val="5FC26D77"/>
    <w:rsid w:val="601217D3"/>
    <w:rsid w:val="60237393"/>
    <w:rsid w:val="60C97544"/>
    <w:rsid w:val="615960EE"/>
    <w:rsid w:val="61B4110F"/>
    <w:rsid w:val="61F25C0D"/>
    <w:rsid w:val="61FE677C"/>
    <w:rsid w:val="628F5DE4"/>
    <w:rsid w:val="62E84468"/>
    <w:rsid w:val="63244403"/>
    <w:rsid w:val="63272C6B"/>
    <w:rsid w:val="634C0405"/>
    <w:rsid w:val="634D35C3"/>
    <w:rsid w:val="63577018"/>
    <w:rsid w:val="63A076AF"/>
    <w:rsid w:val="63B15496"/>
    <w:rsid w:val="63BC1E27"/>
    <w:rsid w:val="63E627DF"/>
    <w:rsid w:val="64450F89"/>
    <w:rsid w:val="64816A20"/>
    <w:rsid w:val="64C23928"/>
    <w:rsid w:val="652C57B3"/>
    <w:rsid w:val="65967FA2"/>
    <w:rsid w:val="65D63B50"/>
    <w:rsid w:val="660A7F70"/>
    <w:rsid w:val="6626385E"/>
    <w:rsid w:val="67706016"/>
    <w:rsid w:val="689F5105"/>
    <w:rsid w:val="693B0827"/>
    <w:rsid w:val="69416448"/>
    <w:rsid w:val="69A060E5"/>
    <w:rsid w:val="6A2D6512"/>
    <w:rsid w:val="6ABD5712"/>
    <w:rsid w:val="6AC66944"/>
    <w:rsid w:val="6B5621A9"/>
    <w:rsid w:val="6BD211F2"/>
    <w:rsid w:val="6C1C5AEE"/>
    <w:rsid w:val="6C8464CC"/>
    <w:rsid w:val="6CE7352A"/>
    <w:rsid w:val="6DEF6D71"/>
    <w:rsid w:val="6E5E28AB"/>
    <w:rsid w:val="6E9844C6"/>
    <w:rsid w:val="6ED008C7"/>
    <w:rsid w:val="6F1C0C18"/>
    <w:rsid w:val="6F2F6271"/>
    <w:rsid w:val="6F3944D9"/>
    <w:rsid w:val="6F4E570C"/>
    <w:rsid w:val="6FB02F06"/>
    <w:rsid w:val="6FDF3742"/>
    <w:rsid w:val="70DD4915"/>
    <w:rsid w:val="7140022C"/>
    <w:rsid w:val="71430325"/>
    <w:rsid w:val="720476F4"/>
    <w:rsid w:val="723E7AE4"/>
    <w:rsid w:val="7259038B"/>
    <w:rsid w:val="725D5CB2"/>
    <w:rsid w:val="72716478"/>
    <w:rsid w:val="72724CB0"/>
    <w:rsid w:val="72BE5A93"/>
    <w:rsid w:val="72F5594B"/>
    <w:rsid w:val="73724608"/>
    <w:rsid w:val="744E64E8"/>
    <w:rsid w:val="749A4E6F"/>
    <w:rsid w:val="75147C44"/>
    <w:rsid w:val="753A3ACD"/>
    <w:rsid w:val="755D14B0"/>
    <w:rsid w:val="757229A2"/>
    <w:rsid w:val="75873C45"/>
    <w:rsid w:val="75EA0CC5"/>
    <w:rsid w:val="76520262"/>
    <w:rsid w:val="76B811E6"/>
    <w:rsid w:val="76D0356B"/>
    <w:rsid w:val="771C2CCF"/>
    <w:rsid w:val="7724202B"/>
    <w:rsid w:val="77260C9B"/>
    <w:rsid w:val="78104A82"/>
    <w:rsid w:val="78113928"/>
    <w:rsid w:val="782B046B"/>
    <w:rsid w:val="789A3093"/>
    <w:rsid w:val="78B623DE"/>
    <w:rsid w:val="79BA1408"/>
    <w:rsid w:val="79EC345A"/>
    <w:rsid w:val="7A037F40"/>
    <w:rsid w:val="7B1156A0"/>
    <w:rsid w:val="7B1D7775"/>
    <w:rsid w:val="7B5444C2"/>
    <w:rsid w:val="7CC273FE"/>
    <w:rsid w:val="7D3751AD"/>
    <w:rsid w:val="7D726D57"/>
    <w:rsid w:val="7DA350EE"/>
    <w:rsid w:val="7DAD7FDA"/>
    <w:rsid w:val="7DB8777E"/>
    <w:rsid w:val="7ED67998"/>
    <w:rsid w:val="7F021588"/>
    <w:rsid w:val="7F467126"/>
    <w:rsid w:val="7F601B7C"/>
    <w:rsid w:val="7F8F18F2"/>
    <w:rsid w:val="7FBD30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tabs>
        <w:tab w:val="left" w:pos="3510"/>
        <w:tab w:val="left" w:pos="3585"/>
        <w:tab w:val="center" w:pos="4410"/>
        <w:tab w:val="left" w:pos="4620"/>
        <w:tab w:val="left" w:pos="4830"/>
        <w:tab w:val="left" w:pos="5580"/>
      </w:tabs>
      <w:outlineLvl w:val="1"/>
    </w:pPr>
    <w:rPr>
      <w:b/>
      <w:bCs/>
      <w:sz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60" w:lineRule="atLeast"/>
      <w:ind w:left="480"/>
      <w:textAlignment w:val="baseline"/>
    </w:pPr>
    <w:rPr>
      <w:kern w:val="0"/>
    </w:rPr>
  </w:style>
  <w:style w:type="paragraph" w:styleId="4">
    <w:name w:val="Body Text"/>
    <w:basedOn w:val="1"/>
    <w:unhideWhenUsed/>
    <w:qFormat/>
    <w:uiPriority w:val="99"/>
    <w:pPr>
      <w:spacing w:line="420" w:lineRule="exact"/>
    </w:pPr>
    <w:rPr>
      <w:sz w:val="24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Date"/>
    <w:basedOn w:val="1"/>
    <w:next w:val="1"/>
    <w:qFormat/>
    <w:uiPriority w:val="0"/>
    <w:pPr>
      <w:widowControl/>
      <w:ind w:left="100" w:leftChars="2500"/>
      <w:jc w:val="left"/>
    </w:pPr>
    <w:rPr>
      <w:kern w:val="0"/>
    </w:rPr>
  </w:style>
  <w:style w:type="paragraph" w:styleId="8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paragraph" w:customStyle="1" w:styleId="16">
    <w:name w:val="表格文字"/>
    <w:basedOn w:val="1"/>
    <w:qFormat/>
    <w:uiPriority w:val="0"/>
    <w:pPr>
      <w:spacing w:before="25" w:after="25"/>
    </w:pPr>
    <w:rPr>
      <w:bCs/>
      <w:spacing w:val="10"/>
    </w:rPr>
  </w:style>
  <w:style w:type="character" w:customStyle="1" w:styleId="17">
    <w:name w:val="页眉 Char"/>
    <w:basedOn w:val="14"/>
    <w:link w:val="1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Char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框文本 Char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customStyle="1" w:styleId="21">
    <w:name w:val="附录表标题"/>
    <w:next w:val="1"/>
    <w:qFormat/>
    <w:uiPriority w:val="0"/>
    <w:pPr>
      <w:numPr>
        <w:ilvl w:val="0"/>
        <w:numId w:val="1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2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1013</Words>
  <Characters>5780</Characters>
  <Lines>48</Lines>
  <Paragraphs>13</Paragraphs>
  <TotalTime>12</TotalTime>
  <ScaleCrop>false</ScaleCrop>
  <LinksUpToDate>false</LinksUpToDate>
  <CharactersWithSpaces>6780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LIL</cp:lastModifiedBy>
  <dcterms:modified xsi:type="dcterms:W3CDTF">2020-08-09T00:56:15Z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